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DAA4B" w14:textId="571BF483" w:rsidR="00BA1DAE" w:rsidRPr="00BF052F" w:rsidRDefault="00BA1DAE" w:rsidP="006E31CD">
      <w:pPr>
        <w:jc w:val="center"/>
        <w:rPr>
          <w:b/>
          <w:caps/>
          <w:color w:val="4F81BD" w:themeColor="accent1"/>
          <w:sz w:val="28"/>
          <w:szCs w:val="28"/>
        </w:rPr>
      </w:pPr>
      <w:bookmarkStart w:id="0" w:name="_GoBack"/>
      <w:bookmarkEnd w:id="0"/>
      <w:r w:rsidRPr="00BF052F">
        <w:rPr>
          <w:b/>
          <w:caps/>
          <w:color w:val="4F81BD" w:themeColor="accent1"/>
          <w:sz w:val="28"/>
          <w:szCs w:val="28"/>
        </w:rPr>
        <w:t>Akcijski plan za liberalizaciju tržišta usluga</w:t>
      </w:r>
    </w:p>
    <w:p w14:paraId="5D0DAE63" w14:textId="1A73CA91" w:rsidR="00663D61" w:rsidRPr="00BF052F" w:rsidRDefault="00663D61" w:rsidP="006E31CD">
      <w:pPr>
        <w:pStyle w:val="Default"/>
        <w:spacing w:after="0" w:line="240" w:lineRule="auto"/>
        <w:jc w:val="both"/>
        <w:rPr>
          <w:rFonts w:ascii="Times New Roman" w:hAnsi="Times New Roman" w:cs="Times New Roman"/>
          <w:b/>
          <w:color w:val="auto"/>
          <w:shd w:val="clear" w:color="auto" w:fill="FFFFFF"/>
          <w:lang w:val="hr-HR"/>
        </w:rPr>
      </w:pPr>
    </w:p>
    <w:p w14:paraId="0DE19A4F" w14:textId="686128D7" w:rsidR="006E31CD" w:rsidRPr="00757427" w:rsidRDefault="006E31CD" w:rsidP="006E31CD">
      <w:pPr>
        <w:pStyle w:val="Default"/>
        <w:spacing w:after="0" w:line="240" w:lineRule="auto"/>
        <w:jc w:val="both"/>
        <w:rPr>
          <w:rStyle w:val="Emphasis"/>
          <w:rFonts w:ascii="Times New Roman" w:hAnsi="Times New Roman" w:cs="Times New Roman"/>
          <w:i w:val="0"/>
          <w:iCs w:val="0"/>
          <w:color w:val="auto"/>
          <w:shd w:val="clear" w:color="auto" w:fill="FFFFFF"/>
          <w:lang w:val="hr-HR"/>
        </w:rPr>
      </w:pPr>
      <w:r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>Liberalizacija tržišta uslug</w:t>
      </w:r>
      <w:r w:rsidR="00821DE2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 xml:space="preserve">a je </w:t>
      </w:r>
      <w:r w:rsidR="00FB2A90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 xml:space="preserve">segment </w:t>
      </w:r>
      <w:r w:rsidR="00821DE2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>regulatorn</w:t>
      </w:r>
      <w:r w:rsidR="00FB2A90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>e</w:t>
      </w:r>
      <w:r w:rsidR="00821DE2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> reform</w:t>
      </w:r>
      <w:r w:rsidR="00FB2A90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>e</w:t>
      </w:r>
      <w:r w:rsidR="00821DE2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> koju Ministarstvo gospodarstva i održivog razvoja</w:t>
      </w:r>
      <w:r w:rsidR="00263D7A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 xml:space="preserve"> </w:t>
      </w:r>
      <w:r w:rsidR="00821DE2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 xml:space="preserve">u suradnji s nadležnim tijelima </w:t>
      </w:r>
      <w:r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>provodi kroz</w:t>
      </w:r>
      <w:r w:rsidRPr="00757427">
        <w:rPr>
          <w:rStyle w:val="Strong"/>
          <w:rFonts w:ascii="Times New Roman" w:hAnsi="Times New Roman" w:cs="Times New Roman"/>
          <w:color w:val="auto"/>
          <w:shd w:val="clear" w:color="auto" w:fill="FFFFFF"/>
          <w:lang w:val="hr-HR"/>
        </w:rPr>
        <w:t> </w:t>
      </w:r>
      <w:hyperlink r:id="rId12" w:tgtFrame="_blank" w:history="1">
        <w:r w:rsidRPr="00757427">
          <w:rPr>
            <w:rStyle w:val="Hyperlink"/>
            <w:rFonts w:ascii="Times New Roman" w:hAnsi="Times New Roman" w:cs="Times New Roman"/>
            <w:color w:val="auto"/>
            <w:shd w:val="clear" w:color="auto" w:fill="FFFFFF"/>
            <w:lang w:val="hr-HR"/>
          </w:rPr>
          <w:t>Nacionalni program reformi 2020.</w:t>
        </w:r>
      </w:hyperlink>
      <w:r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 xml:space="preserve"> </w:t>
      </w:r>
      <w:r w:rsidR="00821DE2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>Pritom je cilj</w:t>
      </w:r>
      <w:r w:rsidR="00FB2A90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 xml:space="preserve"> ove refor</w:t>
      </w:r>
      <w:r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 xml:space="preserve">me primjenom </w:t>
      </w:r>
      <w:r w:rsidR="00821DE2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 xml:space="preserve">OECD-ove </w:t>
      </w:r>
      <w:r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>metodologije</w:t>
      </w:r>
      <w:r w:rsidR="00E94537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 xml:space="preserve"> za mjerenje regulacije tržišta usluga pod nazivom</w:t>
      </w:r>
      <w:r w:rsidR="00D227FB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 xml:space="preserve"> </w:t>
      </w:r>
      <w:r w:rsidR="00263D7A" w:rsidRPr="00757427">
        <w:rPr>
          <w:rFonts w:ascii="Times New Roman" w:hAnsi="Times New Roman" w:cs="Times New Roman"/>
          <w:i/>
          <w:color w:val="auto"/>
          <w:shd w:val="clear" w:color="auto" w:fill="FFFFFF"/>
          <w:lang w:val="hr-HR"/>
        </w:rPr>
        <w:t>Regulacija tržišta proizvoda</w:t>
      </w:r>
      <w:r w:rsidR="00263D7A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 xml:space="preserve">  (</w:t>
      </w:r>
      <w:proofErr w:type="spellStart"/>
      <w:r w:rsidR="00D227FB" w:rsidRPr="00757427">
        <w:rPr>
          <w:rFonts w:ascii="Times New Roman" w:hAnsi="Times New Roman" w:cs="Times New Roman"/>
          <w:i/>
          <w:color w:val="auto"/>
          <w:shd w:val="clear" w:color="auto" w:fill="FFFFFF"/>
          <w:lang w:val="hr-HR"/>
        </w:rPr>
        <w:t>Product</w:t>
      </w:r>
      <w:proofErr w:type="spellEnd"/>
      <w:r w:rsidR="00D227FB" w:rsidRPr="00757427">
        <w:rPr>
          <w:rFonts w:ascii="Times New Roman" w:hAnsi="Times New Roman" w:cs="Times New Roman"/>
          <w:i/>
          <w:color w:val="auto"/>
          <w:shd w:val="clear" w:color="auto" w:fill="FFFFFF"/>
          <w:lang w:val="hr-HR"/>
        </w:rPr>
        <w:t xml:space="preserve"> </w:t>
      </w:r>
      <w:proofErr w:type="spellStart"/>
      <w:r w:rsidR="00D227FB" w:rsidRPr="00757427">
        <w:rPr>
          <w:rFonts w:ascii="Times New Roman" w:hAnsi="Times New Roman" w:cs="Times New Roman"/>
          <w:i/>
          <w:color w:val="auto"/>
          <w:shd w:val="clear" w:color="auto" w:fill="FFFFFF"/>
          <w:lang w:val="hr-HR"/>
        </w:rPr>
        <w:t>Market</w:t>
      </w:r>
      <w:proofErr w:type="spellEnd"/>
      <w:r w:rsidR="00D227FB" w:rsidRPr="00757427">
        <w:rPr>
          <w:rFonts w:ascii="Times New Roman" w:hAnsi="Times New Roman" w:cs="Times New Roman"/>
          <w:i/>
          <w:color w:val="auto"/>
          <w:shd w:val="clear" w:color="auto" w:fill="FFFFFF"/>
          <w:lang w:val="hr-HR"/>
        </w:rPr>
        <w:t xml:space="preserve"> </w:t>
      </w:r>
      <w:proofErr w:type="spellStart"/>
      <w:r w:rsidR="00D227FB" w:rsidRPr="00757427">
        <w:rPr>
          <w:rFonts w:ascii="Times New Roman" w:hAnsi="Times New Roman" w:cs="Times New Roman"/>
          <w:i/>
          <w:color w:val="auto"/>
          <w:shd w:val="clear" w:color="auto" w:fill="FFFFFF"/>
          <w:lang w:val="hr-HR"/>
        </w:rPr>
        <w:t>Regulation</w:t>
      </w:r>
      <w:proofErr w:type="spellEnd"/>
      <w:r w:rsidR="00263D7A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 xml:space="preserve"> - </w:t>
      </w:r>
      <w:r w:rsidR="00D227FB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>PMR)</w:t>
      </w:r>
      <w:r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> </w:t>
      </w:r>
      <w:r w:rsidRPr="00757427">
        <w:rPr>
          <w:rStyle w:val="Emphasis"/>
          <w:rFonts w:ascii="Times New Roman" w:hAnsi="Times New Roman" w:cs="Times New Roman"/>
          <w:bCs/>
          <w:color w:val="auto"/>
          <w:shd w:val="clear" w:color="auto" w:fill="FFFFFF"/>
          <w:lang w:val="hr-HR"/>
        </w:rPr>
        <w:t>nastaviti poticati konkurenciju na tržištu usluga, kroz smanjenje ukupne razine reguliranosti profesija i poticati sprječavanje uvođenja novih regulacija tržišta, usluga i profesija, kako bi se otvorio prostor za povećanje produktivnosti i inovativnosti gospodarstva, (samo)zapošljavanja novih poduzetnika i konkurentnije cijene usluga.</w:t>
      </w:r>
    </w:p>
    <w:p w14:paraId="3C0B443B" w14:textId="62B4EBE5" w:rsidR="0098439D" w:rsidRPr="00757427" w:rsidRDefault="0098439D" w:rsidP="006E31CD">
      <w:pPr>
        <w:pStyle w:val="Default"/>
        <w:spacing w:after="0" w:line="240" w:lineRule="auto"/>
        <w:jc w:val="both"/>
        <w:rPr>
          <w:rStyle w:val="Emphasis"/>
          <w:rFonts w:ascii="Times New Roman" w:hAnsi="Times New Roman" w:cs="Times New Roman"/>
          <w:bCs/>
          <w:i w:val="0"/>
          <w:color w:val="auto"/>
          <w:shd w:val="clear" w:color="auto" w:fill="FFFFFF"/>
          <w:lang w:val="hr-HR"/>
        </w:rPr>
      </w:pPr>
    </w:p>
    <w:p w14:paraId="3C08665F" w14:textId="7268BC42" w:rsidR="0098439D" w:rsidRPr="00757427" w:rsidRDefault="00E051B0" w:rsidP="006E31CD">
      <w:pPr>
        <w:pStyle w:val="Default"/>
        <w:spacing w:after="0" w:line="240" w:lineRule="auto"/>
        <w:jc w:val="both"/>
        <w:rPr>
          <w:rFonts w:ascii="Times New Roman" w:hAnsi="Times New Roman" w:cs="Times New Roman"/>
          <w:bCs/>
          <w:iCs/>
          <w:color w:val="auto"/>
          <w:shd w:val="clear" w:color="auto" w:fill="FFFFFF"/>
          <w:lang w:val="hr-HR"/>
        </w:rPr>
      </w:pPr>
      <w:r w:rsidRPr="00757427">
        <w:rPr>
          <w:rStyle w:val="Emphasis"/>
          <w:rFonts w:ascii="Times New Roman" w:hAnsi="Times New Roman" w:cs="Times New Roman"/>
          <w:bCs/>
          <w:i w:val="0"/>
          <w:color w:val="auto"/>
          <w:shd w:val="clear" w:color="auto" w:fill="FFFFFF"/>
          <w:lang w:val="hr-HR"/>
        </w:rPr>
        <w:t>Uzimajući u obzir relevantne javne politike i dobre prakse na razini Europske unije, c</w:t>
      </w:r>
      <w:r w:rsidR="0098439D" w:rsidRPr="00757427">
        <w:rPr>
          <w:rStyle w:val="Emphasis"/>
          <w:rFonts w:ascii="Times New Roman" w:hAnsi="Times New Roman" w:cs="Times New Roman"/>
          <w:bCs/>
          <w:i w:val="0"/>
          <w:color w:val="auto"/>
          <w:shd w:val="clear" w:color="auto" w:fill="FFFFFF"/>
          <w:lang w:val="hr-HR"/>
        </w:rPr>
        <w:t xml:space="preserve">ilj je uklanjati prekomjerne neopravdane i prekomjerne regulatorne i administrativne zahtjeve za pristup tržištu usluga i konkurenciju. </w:t>
      </w:r>
      <w:r w:rsidR="00270745" w:rsidRPr="00757427">
        <w:rPr>
          <w:rStyle w:val="Emphasis"/>
          <w:rFonts w:ascii="Times New Roman" w:hAnsi="Times New Roman" w:cs="Times New Roman"/>
          <w:bCs/>
          <w:i w:val="0"/>
          <w:color w:val="auto"/>
          <w:shd w:val="clear" w:color="auto" w:fill="FFFFFF"/>
          <w:lang w:val="hr-HR"/>
        </w:rPr>
        <w:t>Primjeri neopravdanih prepreka su</w:t>
      </w:r>
      <w:r w:rsidR="00625FA7" w:rsidRPr="00757427">
        <w:rPr>
          <w:rStyle w:val="Emphasis"/>
          <w:rFonts w:ascii="Times New Roman" w:hAnsi="Times New Roman" w:cs="Times New Roman"/>
          <w:bCs/>
          <w:i w:val="0"/>
          <w:color w:val="auto"/>
          <w:shd w:val="clear" w:color="auto" w:fill="FFFFFF"/>
          <w:lang w:val="hr-HR"/>
        </w:rPr>
        <w:t>:</w:t>
      </w:r>
      <w:r w:rsidR="00270745" w:rsidRPr="00757427">
        <w:rPr>
          <w:rStyle w:val="Emphasis"/>
          <w:rFonts w:ascii="Times New Roman" w:hAnsi="Times New Roman" w:cs="Times New Roman"/>
          <w:bCs/>
          <w:i w:val="0"/>
          <w:color w:val="auto"/>
          <w:shd w:val="clear" w:color="auto" w:fill="FFFFFF"/>
          <w:lang w:val="hr-HR"/>
        </w:rPr>
        <w:t xml:space="preserve"> fiksno regulirane</w:t>
      </w:r>
      <w:r w:rsidR="00693356" w:rsidRPr="00757427">
        <w:rPr>
          <w:rStyle w:val="Emphasis"/>
          <w:rFonts w:ascii="Times New Roman" w:hAnsi="Times New Roman" w:cs="Times New Roman"/>
          <w:bCs/>
          <w:i w:val="0"/>
          <w:color w:val="auto"/>
          <w:shd w:val="clear" w:color="auto" w:fill="FFFFFF"/>
          <w:lang w:val="hr-HR"/>
        </w:rPr>
        <w:t xml:space="preserve"> (obvezujuće)</w:t>
      </w:r>
      <w:r w:rsidR="00270745" w:rsidRPr="00757427">
        <w:rPr>
          <w:rStyle w:val="Emphasis"/>
          <w:rFonts w:ascii="Times New Roman" w:hAnsi="Times New Roman" w:cs="Times New Roman"/>
          <w:bCs/>
          <w:i w:val="0"/>
          <w:color w:val="auto"/>
          <w:shd w:val="clear" w:color="auto" w:fill="FFFFFF"/>
          <w:lang w:val="hr-HR"/>
        </w:rPr>
        <w:t xml:space="preserve"> cijene i tarife</w:t>
      </w:r>
      <w:r w:rsidR="00693356" w:rsidRPr="00757427">
        <w:rPr>
          <w:rStyle w:val="Emphasis"/>
          <w:rFonts w:ascii="Times New Roman" w:hAnsi="Times New Roman" w:cs="Times New Roman"/>
          <w:bCs/>
          <w:i w:val="0"/>
          <w:color w:val="auto"/>
          <w:shd w:val="clear" w:color="auto" w:fill="FFFFFF"/>
          <w:lang w:val="hr-HR"/>
        </w:rPr>
        <w:t xml:space="preserve"> (pogotovo minimalne)</w:t>
      </w:r>
      <w:r w:rsidR="00270745" w:rsidRPr="00757427">
        <w:rPr>
          <w:rStyle w:val="Emphasis"/>
          <w:rFonts w:ascii="Times New Roman" w:hAnsi="Times New Roman" w:cs="Times New Roman"/>
          <w:bCs/>
          <w:i w:val="0"/>
          <w:color w:val="auto"/>
          <w:shd w:val="clear" w:color="auto" w:fill="FFFFFF"/>
          <w:lang w:val="hr-HR"/>
        </w:rPr>
        <w:t xml:space="preserve">, zabrane i </w:t>
      </w:r>
      <w:r w:rsidR="00693356" w:rsidRPr="00757427">
        <w:rPr>
          <w:rStyle w:val="Emphasis"/>
          <w:rFonts w:ascii="Times New Roman" w:hAnsi="Times New Roman" w:cs="Times New Roman"/>
          <w:bCs/>
          <w:i w:val="0"/>
          <w:color w:val="auto"/>
          <w:shd w:val="clear" w:color="auto" w:fill="FFFFFF"/>
          <w:lang w:val="hr-HR"/>
        </w:rPr>
        <w:t>značajna</w:t>
      </w:r>
      <w:r w:rsidR="00270745" w:rsidRPr="00757427">
        <w:rPr>
          <w:rStyle w:val="Emphasis"/>
          <w:rFonts w:ascii="Times New Roman" w:hAnsi="Times New Roman" w:cs="Times New Roman"/>
          <w:bCs/>
          <w:i w:val="0"/>
          <w:color w:val="auto"/>
          <w:shd w:val="clear" w:color="auto" w:fill="FFFFFF"/>
          <w:lang w:val="hr-HR"/>
        </w:rPr>
        <w:t xml:space="preserve"> ograničenja oglašavanja i marketinga, </w:t>
      </w:r>
      <w:r w:rsidR="00270745" w:rsidRPr="00757427">
        <w:rPr>
          <w:color w:val="auto"/>
          <w:lang w:val="hr-HR"/>
        </w:rPr>
        <w:t>teritorijalna, brojčana i vremenska ograničenja do</w:t>
      </w:r>
      <w:r w:rsidR="001F7246" w:rsidRPr="00757427">
        <w:rPr>
          <w:color w:val="auto"/>
          <w:lang w:val="hr-HR"/>
        </w:rPr>
        <w:t>zvola (kvote), dokazivanje tržiš</w:t>
      </w:r>
      <w:r w:rsidR="00270745" w:rsidRPr="00757427">
        <w:rPr>
          <w:color w:val="auto"/>
          <w:lang w:val="hr-HR"/>
        </w:rPr>
        <w:t xml:space="preserve">ne opravdanosti, ograničenja </w:t>
      </w:r>
      <w:r w:rsidR="00693356" w:rsidRPr="00757427">
        <w:rPr>
          <w:color w:val="auto"/>
          <w:lang w:val="hr-HR"/>
        </w:rPr>
        <w:t xml:space="preserve">(online) </w:t>
      </w:r>
      <w:r w:rsidR="00270745" w:rsidRPr="00757427">
        <w:rPr>
          <w:color w:val="auto"/>
          <w:lang w:val="hr-HR"/>
        </w:rPr>
        <w:t xml:space="preserve">prodaje, </w:t>
      </w:r>
      <w:r w:rsidR="00270745" w:rsidRPr="00757427">
        <w:rPr>
          <w:rStyle w:val="Emphasis"/>
          <w:rFonts w:ascii="Times New Roman" w:hAnsi="Times New Roman" w:cs="Times New Roman"/>
          <w:bCs/>
          <w:i w:val="0"/>
          <w:color w:val="auto"/>
          <w:shd w:val="clear" w:color="auto" w:fill="FFFFFF"/>
          <w:lang w:val="hr-HR"/>
        </w:rPr>
        <w:t xml:space="preserve">ograničenja pravnog oblika, </w:t>
      </w:r>
      <w:r w:rsidR="00693356" w:rsidRPr="00757427">
        <w:rPr>
          <w:rStyle w:val="Emphasis"/>
          <w:rFonts w:ascii="Times New Roman" w:hAnsi="Times New Roman" w:cs="Times New Roman"/>
          <w:bCs/>
          <w:i w:val="0"/>
          <w:color w:val="auto"/>
          <w:shd w:val="clear" w:color="auto" w:fill="FFFFFF"/>
          <w:lang w:val="hr-HR"/>
        </w:rPr>
        <w:t xml:space="preserve">ograničenja </w:t>
      </w:r>
      <w:r w:rsidR="00270745" w:rsidRPr="00757427">
        <w:rPr>
          <w:rStyle w:val="Emphasis"/>
          <w:rFonts w:ascii="Times New Roman" w:hAnsi="Times New Roman" w:cs="Times New Roman"/>
          <w:bCs/>
          <w:i w:val="0"/>
          <w:color w:val="auto"/>
          <w:shd w:val="clear" w:color="auto" w:fill="FFFFFF"/>
          <w:lang w:val="hr-HR"/>
        </w:rPr>
        <w:t xml:space="preserve">vlasničkih i upravljačkih </w:t>
      </w:r>
      <w:r w:rsidR="00693356" w:rsidRPr="00757427">
        <w:rPr>
          <w:rStyle w:val="Emphasis"/>
          <w:rFonts w:ascii="Times New Roman" w:hAnsi="Times New Roman" w:cs="Times New Roman"/>
          <w:bCs/>
          <w:i w:val="0"/>
          <w:color w:val="auto"/>
          <w:shd w:val="clear" w:color="auto" w:fill="FFFFFF"/>
          <w:lang w:val="hr-HR"/>
        </w:rPr>
        <w:t>udjela</w:t>
      </w:r>
      <w:r w:rsidR="00270745" w:rsidRPr="00757427">
        <w:rPr>
          <w:rStyle w:val="Emphasis"/>
          <w:rFonts w:ascii="Times New Roman" w:hAnsi="Times New Roman" w:cs="Times New Roman"/>
          <w:bCs/>
          <w:i w:val="0"/>
          <w:color w:val="auto"/>
          <w:shd w:val="clear" w:color="auto" w:fill="FFFFFF"/>
          <w:lang w:val="hr-HR"/>
        </w:rPr>
        <w:t xml:space="preserve"> za nelicencirane profesionalce, </w:t>
      </w:r>
      <w:r w:rsidR="0056241A" w:rsidRPr="00757427">
        <w:rPr>
          <w:rStyle w:val="Emphasis"/>
          <w:rFonts w:ascii="Times New Roman" w:hAnsi="Times New Roman" w:cs="Times New Roman"/>
          <w:bCs/>
          <w:i w:val="0"/>
          <w:color w:val="auto"/>
          <w:shd w:val="clear" w:color="auto" w:fill="FFFFFF"/>
          <w:lang w:val="hr-HR"/>
        </w:rPr>
        <w:t xml:space="preserve">ograničenja </w:t>
      </w:r>
      <w:r w:rsidR="00270745" w:rsidRPr="00757427">
        <w:rPr>
          <w:rStyle w:val="Emphasis"/>
          <w:rFonts w:ascii="Times New Roman" w:hAnsi="Times New Roman" w:cs="Times New Roman"/>
          <w:bCs/>
          <w:i w:val="0"/>
          <w:color w:val="auto"/>
          <w:shd w:val="clear" w:color="auto" w:fill="FFFFFF"/>
          <w:lang w:val="hr-HR"/>
        </w:rPr>
        <w:t xml:space="preserve">broja ureda i sjedišta, prekomjerna ograničenja </w:t>
      </w:r>
      <w:r w:rsidR="00270745" w:rsidRPr="00757427">
        <w:rPr>
          <w:color w:val="auto"/>
          <w:lang w:val="hr-HR"/>
        </w:rPr>
        <w:t xml:space="preserve">multidisciplinarnog pružanja usluga, </w:t>
      </w:r>
      <w:r w:rsidR="00270745" w:rsidRPr="00757427">
        <w:rPr>
          <w:rStyle w:val="Emphasis"/>
          <w:rFonts w:ascii="Times New Roman" w:hAnsi="Times New Roman" w:cs="Times New Roman"/>
          <w:bCs/>
          <w:i w:val="0"/>
          <w:color w:val="auto"/>
          <w:shd w:val="clear" w:color="auto" w:fill="FFFFFF"/>
          <w:lang w:val="hr-HR"/>
        </w:rPr>
        <w:t>visoke obveze spram strukovnih udruženja, veliki broj godina radnog iskustva kao uvjet za licencu, prekomjerni administrativni zahtjevi kod pojedinih procedura</w:t>
      </w:r>
      <w:r w:rsidR="00693356" w:rsidRPr="00757427">
        <w:rPr>
          <w:rStyle w:val="Emphasis"/>
          <w:rFonts w:ascii="Times New Roman" w:hAnsi="Times New Roman" w:cs="Times New Roman"/>
          <w:bCs/>
          <w:i w:val="0"/>
          <w:color w:val="auto"/>
          <w:shd w:val="clear" w:color="auto" w:fill="FFFFFF"/>
          <w:lang w:val="hr-HR"/>
        </w:rPr>
        <w:t xml:space="preserve"> i odsutnost digitalizacije</w:t>
      </w:r>
      <w:r w:rsidRPr="00757427">
        <w:rPr>
          <w:rStyle w:val="Emphasis"/>
          <w:rFonts w:ascii="Times New Roman" w:hAnsi="Times New Roman" w:cs="Times New Roman"/>
          <w:bCs/>
          <w:i w:val="0"/>
          <w:color w:val="auto"/>
          <w:shd w:val="clear" w:color="auto" w:fill="FFFFFF"/>
          <w:lang w:val="hr-HR"/>
        </w:rPr>
        <w:t xml:space="preserve">, ograničenja </w:t>
      </w:r>
      <w:r w:rsidR="00693356" w:rsidRPr="00757427">
        <w:rPr>
          <w:rStyle w:val="Emphasis"/>
          <w:rFonts w:ascii="Times New Roman" w:hAnsi="Times New Roman" w:cs="Times New Roman"/>
          <w:bCs/>
          <w:i w:val="0"/>
          <w:color w:val="auto"/>
          <w:shd w:val="clear" w:color="auto" w:fill="FFFFFF"/>
          <w:lang w:val="hr-HR"/>
        </w:rPr>
        <w:t xml:space="preserve">slobode </w:t>
      </w:r>
      <w:r w:rsidRPr="00757427">
        <w:rPr>
          <w:rStyle w:val="Emphasis"/>
          <w:rFonts w:ascii="Times New Roman" w:hAnsi="Times New Roman" w:cs="Times New Roman"/>
          <w:bCs/>
          <w:i w:val="0"/>
          <w:color w:val="auto"/>
          <w:shd w:val="clear" w:color="auto" w:fill="FFFFFF"/>
          <w:lang w:val="hr-HR"/>
        </w:rPr>
        <w:t>prekograničnog pružanja usluga</w:t>
      </w:r>
      <w:r w:rsidR="00270745" w:rsidRPr="00757427">
        <w:rPr>
          <w:rStyle w:val="Emphasis"/>
          <w:rFonts w:ascii="Times New Roman" w:hAnsi="Times New Roman" w:cs="Times New Roman"/>
          <w:bCs/>
          <w:i w:val="0"/>
          <w:color w:val="auto"/>
          <w:shd w:val="clear" w:color="auto" w:fill="FFFFFF"/>
          <w:lang w:val="hr-HR"/>
        </w:rPr>
        <w:t xml:space="preserve"> i dr.</w:t>
      </w:r>
      <w:r w:rsidRPr="00757427">
        <w:rPr>
          <w:rStyle w:val="Emphasis"/>
          <w:rFonts w:ascii="Times New Roman" w:hAnsi="Times New Roman" w:cs="Times New Roman"/>
          <w:bCs/>
          <w:i w:val="0"/>
          <w:color w:val="auto"/>
          <w:shd w:val="clear" w:color="auto" w:fill="FFFFFF"/>
          <w:lang w:val="hr-HR"/>
        </w:rPr>
        <w:t xml:space="preserve"> </w:t>
      </w:r>
      <w:r w:rsidR="0098439D" w:rsidRPr="00757427">
        <w:rPr>
          <w:rStyle w:val="Emphasis"/>
          <w:rFonts w:ascii="Times New Roman" w:hAnsi="Times New Roman" w:cs="Times New Roman"/>
          <w:bCs/>
          <w:i w:val="0"/>
          <w:color w:val="auto"/>
          <w:shd w:val="clear" w:color="auto" w:fill="FFFFFF"/>
          <w:lang w:val="hr-HR"/>
        </w:rPr>
        <w:t xml:space="preserve">S druge strane, </w:t>
      </w:r>
      <w:r w:rsidR="00270745" w:rsidRPr="00757427">
        <w:rPr>
          <w:rStyle w:val="Emphasis"/>
          <w:rFonts w:ascii="Times New Roman" w:hAnsi="Times New Roman" w:cs="Times New Roman"/>
          <w:bCs/>
          <w:i w:val="0"/>
          <w:color w:val="auto"/>
          <w:shd w:val="clear" w:color="auto" w:fill="FFFFFF"/>
          <w:lang w:val="hr-HR"/>
        </w:rPr>
        <w:t xml:space="preserve">procjenjuje se </w:t>
      </w:r>
      <w:r w:rsidR="0098439D" w:rsidRPr="00757427">
        <w:rPr>
          <w:rStyle w:val="Emphasis"/>
          <w:rFonts w:ascii="Times New Roman" w:hAnsi="Times New Roman" w:cs="Times New Roman"/>
          <w:bCs/>
          <w:i w:val="0"/>
          <w:color w:val="auto"/>
          <w:shd w:val="clear" w:color="auto" w:fill="FFFFFF"/>
          <w:lang w:val="hr-HR"/>
        </w:rPr>
        <w:t xml:space="preserve">proporcionalnost regulatornog okvira </w:t>
      </w:r>
      <w:r w:rsidR="00270745" w:rsidRPr="00757427">
        <w:rPr>
          <w:rStyle w:val="Emphasis"/>
          <w:rFonts w:ascii="Times New Roman" w:hAnsi="Times New Roman" w:cs="Times New Roman"/>
          <w:bCs/>
          <w:i w:val="0"/>
          <w:color w:val="auto"/>
          <w:shd w:val="clear" w:color="auto" w:fill="FFFFFF"/>
          <w:lang w:val="hr-HR"/>
        </w:rPr>
        <w:t>kako bi se u okviru pravila o slobodi pružanja usluga na unutarnjem tržištu EU-a jamčila kvaliteta pružanja uslug</w:t>
      </w:r>
      <w:r w:rsidR="00ED4CC4" w:rsidRPr="00757427">
        <w:rPr>
          <w:rStyle w:val="Emphasis"/>
          <w:rFonts w:ascii="Times New Roman" w:hAnsi="Times New Roman" w:cs="Times New Roman"/>
          <w:bCs/>
          <w:i w:val="0"/>
          <w:color w:val="auto"/>
          <w:shd w:val="clear" w:color="auto" w:fill="FFFFFF"/>
          <w:lang w:val="hr-HR"/>
        </w:rPr>
        <w:t>a, vezano uz zaštitu potrošača kao i</w:t>
      </w:r>
      <w:r w:rsidR="00270745" w:rsidRPr="00757427">
        <w:rPr>
          <w:rStyle w:val="Emphasis"/>
          <w:rFonts w:ascii="Times New Roman" w:hAnsi="Times New Roman" w:cs="Times New Roman"/>
          <w:bCs/>
          <w:i w:val="0"/>
          <w:color w:val="auto"/>
          <w:shd w:val="clear" w:color="auto" w:fill="FFFFFF"/>
          <w:lang w:val="hr-HR"/>
        </w:rPr>
        <w:t xml:space="preserve"> standarda </w:t>
      </w:r>
      <w:r w:rsidR="00ED4CC4" w:rsidRPr="00757427">
        <w:rPr>
          <w:rStyle w:val="Emphasis"/>
          <w:rFonts w:ascii="Times New Roman" w:hAnsi="Times New Roman" w:cs="Times New Roman"/>
          <w:bCs/>
          <w:i w:val="0"/>
          <w:color w:val="auto"/>
          <w:shd w:val="clear" w:color="auto" w:fill="FFFFFF"/>
          <w:lang w:val="hr-HR"/>
        </w:rPr>
        <w:t xml:space="preserve">neovisnosti </w:t>
      </w:r>
      <w:r w:rsidR="00270745" w:rsidRPr="00757427">
        <w:rPr>
          <w:rStyle w:val="Emphasis"/>
          <w:rFonts w:ascii="Times New Roman" w:hAnsi="Times New Roman" w:cs="Times New Roman"/>
          <w:bCs/>
          <w:i w:val="0"/>
          <w:color w:val="auto"/>
          <w:shd w:val="clear" w:color="auto" w:fill="FFFFFF"/>
          <w:lang w:val="hr-HR"/>
        </w:rPr>
        <w:t xml:space="preserve">pojedinih profesija. Među takve zahtjeve spadaju </w:t>
      </w:r>
      <w:r w:rsidRPr="00757427">
        <w:rPr>
          <w:rStyle w:val="Emphasis"/>
          <w:rFonts w:ascii="Times New Roman" w:hAnsi="Times New Roman" w:cs="Times New Roman"/>
          <w:bCs/>
          <w:i w:val="0"/>
          <w:color w:val="auto"/>
          <w:shd w:val="clear" w:color="auto" w:fill="FFFFFF"/>
          <w:lang w:val="hr-HR"/>
        </w:rPr>
        <w:t>primjerice zaštita titule, osiguranja od odgovornosti</w:t>
      </w:r>
      <w:r w:rsidR="00693356" w:rsidRPr="00757427">
        <w:rPr>
          <w:rStyle w:val="Emphasis"/>
          <w:rFonts w:ascii="Times New Roman" w:hAnsi="Times New Roman" w:cs="Times New Roman"/>
          <w:bCs/>
          <w:i w:val="0"/>
          <w:color w:val="auto"/>
          <w:shd w:val="clear" w:color="auto" w:fill="FFFFFF"/>
          <w:lang w:val="hr-HR"/>
        </w:rPr>
        <w:t>, kodeksi profesionalne etike</w:t>
      </w:r>
      <w:r w:rsidRPr="00757427">
        <w:rPr>
          <w:rStyle w:val="Emphasis"/>
          <w:rFonts w:ascii="Times New Roman" w:hAnsi="Times New Roman" w:cs="Times New Roman"/>
          <w:bCs/>
          <w:i w:val="0"/>
          <w:color w:val="auto"/>
          <w:shd w:val="clear" w:color="auto" w:fill="FFFFFF"/>
          <w:lang w:val="hr-HR"/>
        </w:rPr>
        <w:t xml:space="preserve"> te </w:t>
      </w:r>
      <w:r w:rsidR="00270745" w:rsidRPr="00757427">
        <w:rPr>
          <w:rStyle w:val="Emphasis"/>
          <w:rFonts w:ascii="Times New Roman" w:hAnsi="Times New Roman" w:cs="Times New Roman"/>
          <w:bCs/>
          <w:i w:val="0"/>
          <w:color w:val="auto"/>
          <w:shd w:val="clear" w:color="auto" w:fill="FFFFFF"/>
          <w:lang w:val="hr-HR"/>
        </w:rPr>
        <w:t>provjere stručnih kvalifikacija i relevantnih znanja</w:t>
      </w:r>
      <w:r w:rsidRPr="00757427">
        <w:rPr>
          <w:rStyle w:val="Emphasis"/>
          <w:rFonts w:ascii="Times New Roman" w:hAnsi="Times New Roman" w:cs="Times New Roman"/>
          <w:bCs/>
          <w:i w:val="0"/>
          <w:color w:val="auto"/>
          <w:shd w:val="clear" w:color="auto" w:fill="FFFFFF"/>
          <w:lang w:val="hr-HR"/>
        </w:rPr>
        <w:t>.</w:t>
      </w:r>
      <w:r w:rsidR="00ED4CC4" w:rsidRPr="00757427">
        <w:rPr>
          <w:rStyle w:val="Emphasis"/>
          <w:rFonts w:ascii="Times New Roman" w:hAnsi="Times New Roman" w:cs="Times New Roman"/>
          <w:bCs/>
          <w:i w:val="0"/>
          <w:color w:val="auto"/>
          <w:shd w:val="clear" w:color="auto" w:fill="FFFFFF"/>
          <w:lang w:val="hr-HR"/>
        </w:rPr>
        <w:t xml:space="preserve"> Slijedom svega navedenoga, otvaranje institucionalnog i tržišnog okvira za konkurenciju uzima u obzir i regulatornu kvalitetu te specifičnosti i rizike pojedinih profesija. Isto tako, hrvatsko tržište usluga uspoređuje se po razini regulacije s drugim državama članicama EU-a, uzimajući u obzir kontekst i regulatorne razlike kontinentalno-europskog u odnosu na nordijski i anglosaksonski regulatorni okvir.</w:t>
      </w:r>
    </w:p>
    <w:p w14:paraId="54D5C8DD" w14:textId="028BB9CD" w:rsidR="00A47206" w:rsidRPr="00757427" w:rsidRDefault="00A47206" w:rsidP="006E31CD">
      <w:pPr>
        <w:pStyle w:val="Default"/>
        <w:spacing w:after="0" w:line="240" w:lineRule="auto"/>
        <w:jc w:val="both"/>
        <w:rPr>
          <w:rFonts w:ascii="Times New Roman" w:hAnsi="Times New Roman" w:cs="Times New Roman"/>
          <w:color w:val="auto"/>
          <w:u w:color="333333"/>
          <w:lang w:val="hr-HR"/>
        </w:rPr>
      </w:pPr>
    </w:p>
    <w:p w14:paraId="7B9AB5C4" w14:textId="12ABB0FD" w:rsidR="00C612AE" w:rsidRPr="00757427" w:rsidRDefault="00C612AE" w:rsidP="006E31CD">
      <w:pPr>
        <w:pStyle w:val="Default"/>
        <w:spacing w:after="0" w:line="240" w:lineRule="auto"/>
        <w:jc w:val="both"/>
        <w:rPr>
          <w:rFonts w:ascii="Times New Roman" w:hAnsi="Times New Roman" w:cs="Times New Roman"/>
          <w:color w:val="auto"/>
          <w:u w:color="333333"/>
          <w:lang w:val="hr-HR"/>
        </w:rPr>
      </w:pPr>
      <w:r w:rsidRPr="00757427">
        <w:rPr>
          <w:rFonts w:ascii="Times New Roman" w:hAnsi="Times New Roman" w:cs="Times New Roman"/>
          <w:color w:val="auto"/>
          <w:u w:color="333333"/>
          <w:lang w:val="hr-HR"/>
        </w:rPr>
        <w:t xml:space="preserve">Međunarodno usporediva </w:t>
      </w:r>
      <w:r w:rsidR="00821DE2" w:rsidRPr="00757427">
        <w:rPr>
          <w:rFonts w:ascii="Times New Roman" w:hAnsi="Times New Roman" w:cs="Times New Roman"/>
          <w:color w:val="auto"/>
          <w:u w:color="333333"/>
          <w:lang w:val="hr-HR"/>
        </w:rPr>
        <w:t xml:space="preserve">i objektivna </w:t>
      </w:r>
      <w:r w:rsidRPr="00757427">
        <w:rPr>
          <w:rFonts w:ascii="Times New Roman" w:hAnsi="Times New Roman" w:cs="Times New Roman"/>
          <w:color w:val="auto"/>
          <w:u w:color="333333"/>
          <w:lang w:val="hr-HR"/>
        </w:rPr>
        <w:t>a</w:t>
      </w:r>
      <w:r w:rsidR="00CB2E19" w:rsidRPr="00757427">
        <w:rPr>
          <w:rFonts w:ascii="Times New Roman" w:hAnsi="Times New Roman" w:cs="Times New Roman"/>
          <w:color w:val="auto"/>
          <w:u w:color="333333"/>
          <w:lang w:val="hr-HR"/>
        </w:rPr>
        <w:t xml:space="preserve">naliza </w:t>
      </w:r>
      <w:r w:rsidR="00A47206" w:rsidRPr="00757427">
        <w:rPr>
          <w:rFonts w:ascii="Times New Roman" w:hAnsi="Times New Roman" w:cs="Times New Roman"/>
          <w:color w:val="auto"/>
          <w:u w:color="333333"/>
          <w:lang w:val="hr-HR"/>
        </w:rPr>
        <w:t xml:space="preserve">reguliranosti </w:t>
      </w:r>
      <w:r w:rsidR="00CB2E19" w:rsidRPr="00757427">
        <w:rPr>
          <w:rFonts w:ascii="Times New Roman" w:hAnsi="Times New Roman" w:cs="Times New Roman"/>
          <w:color w:val="auto"/>
          <w:u w:color="333333"/>
          <w:lang w:val="hr-HR"/>
        </w:rPr>
        <w:t xml:space="preserve">tržišta usluga provodi se </w:t>
      </w:r>
      <w:r w:rsidR="00821DE2" w:rsidRPr="00757427">
        <w:rPr>
          <w:rFonts w:ascii="Times New Roman" w:hAnsi="Times New Roman" w:cs="Times New Roman"/>
          <w:color w:val="auto"/>
          <w:u w:color="333333"/>
          <w:lang w:val="hr-HR"/>
        </w:rPr>
        <w:t xml:space="preserve">i u Hrvatskoj </w:t>
      </w:r>
      <w:r w:rsidR="00CB2E19" w:rsidRPr="00757427">
        <w:rPr>
          <w:rFonts w:ascii="Times New Roman" w:hAnsi="Times New Roman" w:cs="Times New Roman"/>
          <w:color w:val="auto"/>
          <w:u w:color="333333"/>
          <w:lang w:val="hr-HR"/>
        </w:rPr>
        <w:t xml:space="preserve">temeljem </w:t>
      </w:r>
      <w:r w:rsidR="00821DE2" w:rsidRPr="00757427">
        <w:rPr>
          <w:rFonts w:ascii="Times New Roman" w:hAnsi="Times New Roman" w:cs="Times New Roman"/>
          <w:color w:val="auto"/>
          <w:u w:color="333333"/>
          <w:lang w:val="hr-HR"/>
        </w:rPr>
        <w:t xml:space="preserve">OECD-ove </w:t>
      </w:r>
      <w:r w:rsidR="00CB2E19" w:rsidRPr="00757427">
        <w:rPr>
          <w:rFonts w:ascii="Times New Roman" w:hAnsi="Times New Roman" w:cs="Times New Roman"/>
          <w:color w:val="auto"/>
          <w:u w:color="333333"/>
          <w:lang w:val="hr-HR"/>
        </w:rPr>
        <w:t>metodologije</w:t>
      </w:r>
      <w:r w:rsidR="00136F7F" w:rsidRPr="00757427">
        <w:rPr>
          <w:rFonts w:ascii="Times New Roman" w:hAnsi="Times New Roman" w:cs="Times New Roman"/>
          <w:color w:val="auto"/>
          <w:u w:color="333333"/>
          <w:lang w:val="hr-HR"/>
        </w:rPr>
        <w:t xml:space="preserve"> </w:t>
      </w:r>
      <w:r w:rsidR="00136F7F" w:rsidRPr="00757427">
        <w:rPr>
          <w:rFonts w:ascii="Times New Roman" w:hAnsi="Times New Roman" w:cs="Times New Roman"/>
          <w:iCs/>
          <w:color w:val="auto"/>
          <w:u w:color="333333"/>
          <w:lang w:val="hr-HR"/>
        </w:rPr>
        <w:t>PMR</w:t>
      </w:r>
      <w:r w:rsidR="00821DE2" w:rsidRPr="00757427">
        <w:rPr>
          <w:rFonts w:ascii="Times New Roman" w:hAnsi="Times New Roman" w:cs="Times New Roman"/>
          <w:color w:val="auto"/>
          <w:u w:color="333333"/>
          <w:lang w:val="hr-HR"/>
        </w:rPr>
        <w:t xml:space="preserve">. </w:t>
      </w:r>
      <w:r w:rsidR="004609F5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>Prema OECD-</w:t>
      </w:r>
      <w:r w:rsidR="00821DE2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 xml:space="preserve">ovim podacima iz </w:t>
      </w:r>
      <w:r w:rsidR="00263D7A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 xml:space="preserve">posljednjeg petogodišnjeg </w:t>
      </w:r>
      <w:r w:rsidR="00821DE2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 xml:space="preserve">izvješća </w:t>
      </w:r>
      <w:hyperlink r:id="rId13" w:tgtFrame="_blank" w:history="1">
        <w:r w:rsidR="004609F5" w:rsidRPr="00757427">
          <w:rPr>
            <w:rStyle w:val="Hyperlink"/>
            <w:rFonts w:ascii="Times New Roman" w:hAnsi="Times New Roman" w:cs="Times New Roman"/>
            <w:color w:val="auto"/>
            <w:shd w:val="clear" w:color="auto" w:fill="FFFFFF"/>
            <w:lang w:val="hr-HR"/>
          </w:rPr>
          <w:t>PMR 2018</w:t>
        </w:r>
      </w:hyperlink>
      <w:r w:rsidR="00263D7A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>,</w:t>
      </w:r>
      <w:r w:rsidR="004609F5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 xml:space="preserve"> ukupna reguliranost hrvatskog </w:t>
      </w:r>
      <w:r w:rsidR="00821DE2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 xml:space="preserve">gospodarstva i </w:t>
      </w:r>
      <w:r w:rsidR="00AB34C4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 xml:space="preserve">tržišta usluga, uključujući profesionalne usluge, </w:t>
      </w:r>
      <w:r w:rsidR="004609F5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 xml:space="preserve">snižena je s najviše razine </w:t>
      </w:r>
      <w:r w:rsidR="00625FA7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 xml:space="preserve">EU-a </w:t>
      </w:r>
      <w:r w:rsidR="004609F5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>(</w:t>
      </w:r>
      <w:r w:rsidR="00AB34C4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>prema</w:t>
      </w:r>
      <w:r w:rsidR="00FF1BAF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 xml:space="preserve"> </w:t>
      </w:r>
      <w:r w:rsidR="00263D7A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 xml:space="preserve">prethodnom </w:t>
      </w:r>
      <w:r w:rsidR="00FF1BAF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>izvješću</w:t>
      </w:r>
      <w:r w:rsidR="00AB34C4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 xml:space="preserve"> </w:t>
      </w:r>
      <w:hyperlink r:id="rId14" w:tgtFrame="_blank" w:history="1">
        <w:r w:rsidR="004609F5" w:rsidRPr="00757427">
          <w:rPr>
            <w:rStyle w:val="Hyperlink"/>
            <w:rFonts w:ascii="Times New Roman" w:hAnsi="Times New Roman" w:cs="Times New Roman"/>
            <w:color w:val="auto"/>
            <w:shd w:val="clear" w:color="auto" w:fill="FFFFFF"/>
            <w:lang w:val="hr-HR"/>
          </w:rPr>
          <w:t>PMR 2013</w:t>
        </w:r>
      </w:hyperlink>
      <w:r w:rsidR="004609F5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 xml:space="preserve">) na prosječnu </w:t>
      </w:r>
      <w:r w:rsidR="00821DE2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 xml:space="preserve">razinu </w:t>
      </w:r>
      <w:r w:rsidR="004609F5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>EU</w:t>
      </w:r>
      <w:r w:rsidR="00821DE2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 xml:space="preserve">-a i OECD-a. Pritom je u </w:t>
      </w:r>
      <w:r w:rsidR="00AB34C4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>o</w:t>
      </w:r>
      <w:r w:rsidR="00821DE2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>dređenim sektorskim područjima razina reguliranosti tržišta usluga i</w:t>
      </w:r>
      <w:r w:rsidR="00AB34C4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 xml:space="preserve"> niž</w:t>
      </w:r>
      <w:r w:rsidR="00821DE2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>a</w:t>
      </w:r>
      <w:r w:rsidR="00AB34C4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 xml:space="preserve"> od tog prosjeka</w:t>
      </w:r>
      <w:r w:rsidR="00821DE2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>, odnosno među deset najnižih na unutarnjem tržištu EU-a</w:t>
      </w:r>
      <w:r w:rsidR="00AB34C4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 xml:space="preserve"> (računovođe</w:t>
      </w:r>
      <w:r w:rsidR="00821DE2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>/knjigovođe</w:t>
      </w:r>
      <w:r w:rsidR="00AB34C4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 xml:space="preserve">, arhitekti, </w:t>
      </w:r>
      <w:r w:rsidR="00821DE2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lastRenderedPageBreak/>
        <w:t>inženjeri</w:t>
      </w:r>
      <w:r w:rsidR="00012258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 xml:space="preserve"> građevinarstva</w:t>
      </w:r>
      <w:r w:rsidR="00821DE2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 xml:space="preserve">, </w:t>
      </w:r>
      <w:r w:rsidR="00AB34C4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>taksi</w:t>
      </w:r>
      <w:r w:rsidR="00821DE2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>sti</w:t>
      </w:r>
      <w:r w:rsidR="00012258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>/cestovni promet</w:t>
      </w:r>
      <w:r w:rsidR="00AB34C4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 xml:space="preserve">, </w:t>
      </w:r>
      <w:r w:rsidR="00012258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 xml:space="preserve">distributivna </w:t>
      </w:r>
      <w:r w:rsidR="00AB34C4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>trgovina</w:t>
      </w:r>
      <w:r w:rsidR="00A35755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 xml:space="preserve">, </w:t>
      </w:r>
      <w:r w:rsidR="00012258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 xml:space="preserve">telekomunikacije, </w:t>
      </w:r>
      <w:r w:rsidR="00A35755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>javna nabava</w:t>
      </w:r>
      <w:r w:rsidR="00ED4CC4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>, prekogranična trgovina</w:t>
      </w:r>
      <w:r w:rsidR="00AB34C4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>).</w:t>
      </w:r>
      <w:r w:rsidR="00A35755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 xml:space="preserve"> Također, OECD-ovi usporedni podaci pokazuju kako su pravne usluge (odvjetnici i </w:t>
      </w:r>
      <w:r w:rsidR="00ED4CC4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>javni bilježnici)</w:t>
      </w:r>
      <w:r w:rsidR="00263D7A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 xml:space="preserve">, kao i prodaja lijekova (ljekarne), </w:t>
      </w:r>
      <w:r w:rsidR="00ED4CC4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>reguliranij</w:t>
      </w:r>
      <w:r w:rsidR="00263D7A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>i</w:t>
      </w:r>
      <w:r w:rsidR="00ED4CC4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 xml:space="preserve"> od</w:t>
      </w:r>
      <w:r w:rsidR="00012258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 xml:space="preserve"> prosjeka EU-a</w:t>
      </w:r>
      <w:r w:rsidR="001B292D" w:rsidRPr="00757427">
        <w:rPr>
          <w:rFonts w:ascii="Times New Roman" w:hAnsi="Times New Roman" w:cs="Times New Roman"/>
          <w:color w:val="auto"/>
          <w:shd w:val="clear" w:color="auto" w:fill="FFFFFF"/>
          <w:lang w:val="hr-HR"/>
        </w:rPr>
        <w:t>.</w:t>
      </w:r>
    </w:p>
    <w:p w14:paraId="4543F97C" w14:textId="77777777" w:rsidR="00C612AE" w:rsidRPr="00757427" w:rsidRDefault="00C612AE" w:rsidP="006E31CD">
      <w:pPr>
        <w:pStyle w:val="Default"/>
        <w:spacing w:after="0" w:line="240" w:lineRule="auto"/>
        <w:jc w:val="both"/>
        <w:rPr>
          <w:rFonts w:ascii="Times New Roman" w:hAnsi="Times New Roman" w:cs="Times New Roman"/>
          <w:color w:val="auto"/>
          <w:lang w:val="hr-HR"/>
        </w:rPr>
      </w:pPr>
    </w:p>
    <w:p w14:paraId="41F0785F" w14:textId="53EB62C1" w:rsidR="00337642" w:rsidRPr="00757427" w:rsidRDefault="00263D7A" w:rsidP="00012258">
      <w:pPr>
        <w:pStyle w:val="Default"/>
        <w:spacing w:after="0" w:line="240" w:lineRule="auto"/>
        <w:jc w:val="both"/>
        <w:rPr>
          <w:rFonts w:ascii="Times New Roman" w:hAnsi="Times New Roman" w:cs="Times New Roman"/>
          <w:color w:val="auto"/>
          <w:lang w:val="hr-HR"/>
        </w:rPr>
      </w:pPr>
      <w:r w:rsidRPr="00757427">
        <w:rPr>
          <w:rFonts w:ascii="Times New Roman" w:hAnsi="Times New Roman" w:cs="Times New Roman"/>
          <w:color w:val="auto"/>
          <w:lang w:val="hr-HR"/>
        </w:rPr>
        <w:t>Slijedom 250 provedenih mjera u 50 djelatnosti i profesija do kraja I. kvartala 2021., Vlada Republike Hrvatske nastavlja s provedbom ove reforme</w:t>
      </w:r>
      <w:r w:rsidR="00012258" w:rsidRPr="00757427">
        <w:rPr>
          <w:rFonts w:ascii="Times New Roman" w:hAnsi="Times New Roman" w:cs="Times New Roman"/>
          <w:color w:val="auto"/>
          <w:lang w:val="hr-HR"/>
        </w:rPr>
        <w:t>.</w:t>
      </w:r>
      <w:r w:rsidR="000C3A61" w:rsidRPr="00757427">
        <w:rPr>
          <w:rFonts w:ascii="Times New Roman" w:hAnsi="Times New Roman" w:cs="Times New Roman"/>
          <w:color w:val="auto"/>
          <w:lang w:val="hr-HR"/>
        </w:rPr>
        <w:t xml:space="preserve"> </w:t>
      </w:r>
      <w:r w:rsidR="00F936A3" w:rsidRPr="00757427">
        <w:rPr>
          <w:rFonts w:ascii="Times New Roman" w:hAnsi="Times New Roman" w:cs="Times New Roman"/>
          <w:bCs/>
          <w:color w:val="auto"/>
          <w:lang w:val="hr-HR"/>
        </w:rPr>
        <w:t>P</w:t>
      </w:r>
      <w:r w:rsidR="00EC0AEF">
        <w:rPr>
          <w:rFonts w:ascii="Times New Roman" w:hAnsi="Times New Roman" w:cs="Times New Roman"/>
          <w:bCs/>
          <w:color w:val="auto"/>
          <w:lang w:val="hr-HR"/>
        </w:rPr>
        <w:t>rvi A</w:t>
      </w:r>
      <w:r w:rsidR="00012258" w:rsidRPr="00757427">
        <w:rPr>
          <w:rFonts w:ascii="Times New Roman" w:hAnsi="Times New Roman" w:cs="Times New Roman"/>
          <w:bCs/>
          <w:color w:val="auto"/>
          <w:lang w:val="hr-HR"/>
        </w:rPr>
        <w:t xml:space="preserve">kcijski plan za liberalizaciju tržišta proveden je do kraja </w:t>
      </w:r>
      <w:r w:rsidRPr="00757427">
        <w:rPr>
          <w:rFonts w:ascii="Times New Roman" w:hAnsi="Times New Roman" w:cs="Times New Roman"/>
          <w:bCs/>
          <w:color w:val="auto"/>
          <w:lang w:val="hr-HR"/>
        </w:rPr>
        <w:t>I</w:t>
      </w:r>
      <w:r w:rsidR="0056241A" w:rsidRPr="00757427">
        <w:rPr>
          <w:rFonts w:ascii="Times New Roman" w:hAnsi="Times New Roman" w:cs="Times New Roman"/>
          <w:bCs/>
          <w:color w:val="auto"/>
          <w:lang w:val="hr-HR"/>
        </w:rPr>
        <w:t xml:space="preserve">. kvartala 2021. godine </w:t>
      </w:r>
      <w:r w:rsidR="00012258" w:rsidRPr="00757427">
        <w:rPr>
          <w:rFonts w:ascii="Times New Roman" w:hAnsi="Times New Roman" w:cs="Times New Roman"/>
          <w:bCs/>
          <w:color w:val="auto"/>
          <w:lang w:val="hr-HR"/>
        </w:rPr>
        <w:t xml:space="preserve">kroz 12 od 20 mjera, a preostalih 8 mjera (vezano uz odvjetnike i turističke vodiče) u provedbi je </w:t>
      </w:r>
      <w:r w:rsidR="0056241A" w:rsidRPr="00757427">
        <w:rPr>
          <w:rFonts w:ascii="Times New Roman" w:hAnsi="Times New Roman" w:cs="Times New Roman"/>
          <w:bCs/>
          <w:color w:val="auto"/>
          <w:lang w:val="hr-HR"/>
        </w:rPr>
        <w:t>tijekom</w:t>
      </w:r>
      <w:r w:rsidR="00012258" w:rsidRPr="00757427">
        <w:rPr>
          <w:rFonts w:ascii="Times New Roman" w:hAnsi="Times New Roman" w:cs="Times New Roman"/>
          <w:bCs/>
          <w:color w:val="auto"/>
          <w:lang w:val="hr-HR"/>
        </w:rPr>
        <w:t xml:space="preserve"> 2021. godine. </w:t>
      </w:r>
      <w:r w:rsidR="001F27A9">
        <w:rPr>
          <w:rFonts w:ascii="Times New Roman" w:hAnsi="Times New Roman" w:cs="Times New Roman"/>
          <w:bCs/>
          <w:color w:val="auto"/>
          <w:lang w:val="hr-HR"/>
        </w:rPr>
        <w:t>Predmetni drugi A</w:t>
      </w:r>
      <w:r w:rsidR="00BA1DAE" w:rsidRPr="00757427">
        <w:rPr>
          <w:rFonts w:ascii="Times New Roman" w:hAnsi="Times New Roman" w:cs="Times New Roman"/>
          <w:bCs/>
          <w:color w:val="auto"/>
          <w:lang w:val="hr-HR"/>
        </w:rPr>
        <w:t>kcijski plan za liberalizaciju tržišta usluga</w:t>
      </w:r>
      <w:r w:rsidR="0056241A" w:rsidRPr="00757427">
        <w:rPr>
          <w:rFonts w:ascii="Times New Roman" w:hAnsi="Times New Roman" w:cs="Times New Roman"/>
          <w:color w:val="auto"/>
          <w:lang w:val="hr-HR"/>
        </w:rPr>
        <w:t xml:space="preserve"> donosi novih 18 mjera, </w:t>
      </w:r>
      <w:r w:rsidR="00012258" w:rsidRPr="00757427">
        <w:rPr>
          <w:rFonts w:ascii="Times New Roman" w:hAnsi="Times New Roman" w:cs="Times New Roman"/>
          <w:color w:val="auto"/>
          <w:lang w:val="hr-HR"/>
        </w:rPr>
        <w:t>od kojih je 16 predviđeno za provedbu tijekom 2021. odnosno 2022.</w:t>
      </w:r>
      <w:r w:rsidRPr="00757427">
        <w:rPr>
          <w:rFonts w:ascii="Times New Roman" w:hAnsi="Times New Roman" w:cs="Times New Roman"/>
          <w:color w:val="auto"/>
          <w:lang w:val="hr-HR"/>
        </w:rPr>
        <w:t xml:space="preserve">, a 2 </w:t>
      </w:r>
      <w:r w:rsidR="000C3A61" w:rsidRPr="00757427">
        <w:rPr>
          <w:rFonts w:ascii="Times New Roman" w:hAnsi="Times New Roman" w:cs="Times New Roman"/>
          <w:color w:val="auto"/>
          <w:lang w:val="hr-HR"/>
        </w:rPr>
        <w:t xml:space="preserve">mjere </w:t>
      </w:r>
      <w:r w:rsidRPr="00757427">
        <w:rPr>
          <w:rFonts w:ascii="Times New Roman" w:hAnsi="Times New Roman" w:cs="Times New Roman"/>
          <w:color w:val="auto"/>
          <w:lang w:val="hr-HR"/>
        </w:rPr>
        <w:t>tijekom 2023</w:t>
      </w:r>
      <w:r w:rsidR="00012258" w:rsidRPr="00757427">
        <w:rPr>
          <w:rFonts w:ascii="Times New Roman" w:hAnsi="Times New Roman" w:cs="Times New Roman"/>
          <w:color w:val="auto"/>
          <w:lang w:val="hr-HR"/>
        </w:rPr>
        <w:t>.</w:t>
      </w:r>
      <w:r w:rsidRPr="00757427">
        <w:rPr>
          <w:rFonts w:ascii="Times New Roman" w:hAnsi="Times New Roman" w:cs="Times New Roman"/>
          <w:color w:val="auto"/>
          <w:lang w:val="hr-HR"/>
        </w:rPr>
        <w:t xml:space="preserve"> godine.</w:t>
      </w:r>
      <w:r w:rsidR="001F27A9">
        <w:rPr>
          <w:rFonts w:ascii="Times New Roman" w:hAnsi="Times New Roman" w:cs="Times New Roman"/>
          <w:color w:val="auto"/>
          <w:lang w:val="hr-HR"/>
        </w:rPr>
        <w:t xml:space="preserve"> Konkretno, </w:t>
      </w:r>
      <w:r w:rsidR="00EC0AEF">
        <w:rPr>
          <w:rFonts w:ascii="Times New Roman" w:hAnsi="Times New Roman" w:cs="Times New Roman"/>
          <w:color w:val="auto"/>
          <w:lang w:val="hr-HR"/>
        </w:rPr>
        <w:t xml:space="preserve">ovaj </w:t>
      </w:r>
      <w:r w:rsidR="001F27A9">
        <w:rPr>
          <w:rFonts w:ascii="Times New Roman" w:hAnsi="Times New Roman" w:cs="Times New Roman"/>
          <w:color w:val="auto"/>
          <w:lang w:val="hr-HR"/>
        </w:rPr>
        <w:t xml:space="preserve">plan </w:t>
      </w:r>
      <w:r w:rsidR="00012258" w:rsidRPr="00757427">
        <w:rPr>
          <w:rFonts w:ascii="Times New Roman" w:hAnsi="Times New Roman" w:cs="Times New Roman"/>
          <w:color w:val="auto"/>
          <w:lang w:val="hr-HR"/>
        </w:rPr>
        <w:t xml:space="preserve">donosi (dodatno) </w:t>
      </w:r>
      <w:r w:rsidR="00B835CF" w:rsidRPr="00757427">
        <w:rPr>
          <w:rFonts w:ascii="Times New Roman" w:hAnsi="Times New Roman" w:cs="Times New Roman"/>
          <w:color w:val="auto"/>
          <w:lang w:val="hr-HR"/>
        </w:rPr>
        <w:t>olakša</w:t>
      </w:r>
      <w:r w:rsidR="00012258" w:rsidRPr="00757427">
        <w:rPr>
          <w:rFonts w:ascii="Times New Roman" w:hAnsi="Times New Roman" w:cs="Times New Roman"/>
          <w:color w:val="auto"/>
          <w:lang w:val="hr-HR"/>
        </w:rPr>
        <w:t>nje</w:t>
      </w:r>
      <w:r w:rsidR="00B835CF" w:rsidRPr="00757427">
        <w:rPr>
          <w:rFonts w:ascii="Times New Roman" w:hAnsi="Times New Roman" w:cs="Times New Roman"/>
          <w:color w:val="auto"/>
          <w:lang w:val="hr-HR"/>
        </w:rPr>
        <w:t xml:space="preserve"> </w:t>
      </w:r>
      <w:r w:rsidR="00593DC6" w:rsidRPr="00757427">
        <w:rPr>
          <w:rFonts w:ascii="Times New Roman" w:hAnsi="Times New Roman" w:cs="Times New Roman"/>
          <w:color w:val="auto"/>
          <w:lang w:val="hr-HR"/>
        </w:rPr>
        <w:t>pristup</w:t>
      </w:r>
      <w:r w:rsidR="00157CC2" w:rsidRPr="00757427">
        <w:rPr>
          <w:rFonts w:ascii="Times New Roman" w:hAnsi="Times New Roman" w:cs="Times New Roman"/>
          <w:color w:val="auto"/>
          <w:lang w:val="hr-HR"/>
        </w:rPr>
        <w:t>a</w:t>
      </w:r>
      <w:r w:rsidR="00593DC6" w:rsidRPr="00757427">
        <w:rPr>
          <w:rFonts w:ascii="Times New Roman" w:hAnsi="Times New Roman" w:cs="Times New Roman"/>
          <w:color w:val="auto"/>
          <w:lang w:val="hr-HR"/>
        </w:rPr>
        <w:t xml:space="preserve"> tržištu i </w:t>
      </w:r>
      <w:r w:rsidR="00B835CF" w:rsidRPr="00757427">
        <w:rPr>
          <w:rFonts w:ascii="Times New Roman" w:hAnsi="Times New Roman" w:cs="Times New Roman"/>
          <w:color w:val="auto"/>
          <w:lang w:val="hr-HR"/>
        </w:rPr>
        <w:t>pružanje usluga</w:t>
      </w:r>
      <w:r w:rsidR="007F0906" w:rsidRPr="00757427">
        <w:rPr>
          <w:rFonts w:ascii="Times New Roman" w:hAnsi="Times New Roman" w:cs="Times New Roman"/>
          <w:color w:val="auto"/>
          <w:lang w:val="hr-HR"/>
        </w:rPr>
        <w:t xml:space="preserve"> </w:t>
      </w:r>
      <w:r w:rsidR="00ED2A8C" w:rsidRPr="00757427">
        <w:rPr>
          <w:rFonts w:ascii="Times New Roman" w:hAnsi="Times New Roman" w:cs="Times New Roman"/>
          <w:color w:val="auto"/>
          <w:lang w:val="hr-HR"/>
        </w:rPr>
        <w:t>u sljedećim profesijama:</w:t>
      </w:r>
    </w:p>
    <w:p w14:paraId="021B04F2" w14:textId="33F21C57" w:rsidR="00593DC6" w:rsidRPr="00757427" w:rsidRDefault="00593DC6" w:rsidP="006E31CD">
      <w:pPr>
        <w:pStyle w:val="ListParagraph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57427">
        <w:rPr>
          <w:rFonts w:ascii="Times New Roman" w:hAnsi="Times New Roman"/>
          <w:sz w:val="24"/>
          <w:szCs w:val="24"/>
        </w:rPr>
        <w:t>odvjetnici</w:t>
      </w:r>
      <w:r w:rsidR="00B835CF" w:rsidRPr="00757427">
        <w:rPr>
          <w:rFonts w:ascii="Times New Roman" w:hAnsi="Times New Roman"/>
          <w:sz w:val="24"/>
          <w:szCs w:val="24"/>
        </w:rPr>
        <w:t xml:space="preserve"> (</w:t>
      </w:r>
      <w:r w:rsidR="00CF3D04" w:rsidRPr="00757427">
        <w:rPr>
          <w:rFonts w:ascii="Times New Roman" w:hAnsi="Times New Roman"/>
          <w:sz w:val="24"/>
          <w:szCs w:val="24"/>
        </w:rPr>
        <w:t>4 mjere</w:t>
      </w:r>
      <w:r w:rsidR="00157CC2" w:rsidRPr="00757427">
        <w:rPr>
          <w:rFonts w:ascii="Times New Roman" w:hAnsi="Times New Roman"/>
          <w:sz w:val="24"/>
          <w:szCs w:val="24"/>
        </w:rPr>
        <w:t>,</w:t>
      </w:r>
      <w:r w:rsidR="00CF3D04" w:rsidRPr="00757427">
        <w:rPr>
          <w:rFonts w:ascii="Times New Roman" w:hAnsi="Times New Roman"/>
          <w:sz w:val="24"/>
          <w:szCs w:val="24"/>
        </w:rPr>
        <w:t xml:space="preserve"> </w:t>
      </w:r>
      <w:r w:rsidR="00B835CF" w:rsidRPr="00757427">
        <w:rPr>
          <w:rFonts w:ascii="Times New Roman" w:hAnsi="Times New Roman"/>
          <w:sz w:val="24"/>
          <w:szCs w:val="24"/>
        </w:rPr>
        <w:t xml:space="preserve">nastavno na </w:t>
      </w:r>
      <w:r w:rsidR="00981936" w:rsidRPr="00757427">
        <w:rPr>
          <w:rFonts w:ascii="Times New Roman" w:hAnsi="Times New Roman"/>
          <w:sz w:val="24"/>
          <w:szCs w:val="24"/>
        </w:rPr>
        <w:t xml:space="preserve">već </w:t>
      </w:r>
      <w:r w:rsidR="00000219" w:rsidRPr="00757427">
        <w:rPr>
          <w:rFonts w:ascii="Times New Roman" w:hAnsi="Times New Roman"/>
          <w:sz w:val="24"/>
          <w:szCs w:val="24"/>
        </w:rPr>
        <w:t xml:space="preserve">provedenih </w:t>
      </w:r>
      <w:r w:rsidR="00981936" w:rsidRPr="00757427">
        <w:rPr>
          <w:rFonts w:ascii="Times New Roman" w:hAnsi="Times New Roman"/>
          <w:sz w:val="24"/>
          <w:szCs w:val="24"/>
        </w:rPr>
        <w:t xml:space="preserve">9 mjera i </w:t>
      </w:r>
      <w:r w:rsidRPr="00757427">
        <w:rPr>
          <w:rFonts w:ascii="Times New Roman" w:hAnsi="Times New Roman"/>
          <w:sz w:val="24"/>
          <w:szCs w:val="24"/>
        </w:rPr>
        <w:t xml:space="preserve">6 </w:t>
      </w:r>
      <w:r w:rsidR="00B835CF" w:rsidRPr="00757427">
        <w:rPr>
          <w:rFonts w:ascii="Times New Roman" w:hAnsi="Times New Roman"/>
          <w:sz w:val="24"/>
          <w:szCs w:val="24"/>
        </w:rPr>
        <w:t>mjer</w:t>
      </w:r>
      <w:r w:rsidRPr="00757427">
        <w:rPr>
          <w:rFonts w:ascii="Times New Roman" w:hAnsi="Times New Roman"/>
          <w:sz w:val="24"/>
          <w:szCs w:val="24"/>
        </w:rPr>
        <w:t>a</w:t>
      </w:r>
      <w:r w:rsidR="00B835CF" w:rsidRPr="00757427">
        <w:rPr>
          <w:rFonts w:ascii="Times New Roman" w:hAnsi="Times New Roman"/>
          <w:sz w:val="24"/>
          <w:szCs w:val="24"/>
        </w:rPr>
        <w:t xml:space="preserve"> iz Prvog akcijskog plana za liberalizaciju tržišta usluga</w:t>
      </w:r>
      <w:r w:rsidR="00693356" w:rsidRPr="00757427">
        <w:rPr>
          <w:rFonts w:ascii="Times New Roman" w:hAnsi="Times New Roman"/>
          <w:sz w:val="24"/>
          <w:szCs w:val="24"/>
        </w:rPr>
        <w:t xml:space="preserve"> u provedbi do kraja 2021.</w:t>
      </w:r>
      <w:r w:rsidR="00B835CF" w:rsidRPr="00757427">
        <w:rPr>
          <w:rFonts w:ascii="Times New Roman" w:hAnsi="Times New Roman"/>
          <w:sz w:val="24"/>
          <w:szCs w:val="24"/>
        </w:rPr>
        <w:t>)</w:t>
      </w:r>
    </w:p>
    <w:p w14:paraId="26BEE8CE" w14:textId="323AA067" w:rsidR="00593DC6" w:rsidRPr="00757427" w:rsidRDefault="00593DC6" w:rsidP="006E31CD">
      <w:pPr>
        <w:pStyle w:val="ListParagraph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57427">
        <w:rPr>
          <w:rFonts w:ascii="Times New Roman" w:hAnsi="Times New Roman"/>
          <w:sz w:val="24"/>
          <w:szCs w:val="24"/>
        </w:rPr>
        <w:t>javni bilježnici (</w:t>
      </w:r>
      <w:r w:rsidR="00CF3D04" w:rsidRPr="00757427">
        <w:rPr>
          <w:rFonts w:ascii="Times New Roman" w:hAnsi="Times New Roman"/>
          <w:sz w:val="24"/>
          <w:szCs w:val="24"/>
        </w:rPr>
        <w:t xml:space="preserve">2 mjere, a </w:t>
      </w:r>
      <w:r w:rsidRPr="00757427">
        <w:rPr>
          <w:rFonts w:ascii="Times New Roman" w:hAnsi="Times New Roman"/>
          <w:sz w:val="24"/>
          <w:szCs w:val="24"/>
        </w:rPr>
        <w:t xml:space="preserve">uzimajući u obzir da je ova profesija približno jednako regulirana </w:t>
      </w:r>
      <w:r w:rsidR="00000219" w:rsidRPr="00757427">
        <w:rPr>
          <w:rFonts w:ascii="Times New Roman" w:hAnsi="Times New Roman"/>
          <w:sz w:val="24"/>
          <w:szCs w:val="24"/>
        </w:rPr>
        <w:t>s posebnom javnom ulogom u</w:t>
      </w:r>
      <w:r w:rsidRPr="00757427">
        <w:rPr>
          <w:rFonts w:ascii="Times New Roman" w:hAnsi="Times New Roman"/>
          <w:sz w:val="24"/>
          <w:szCs w:val="24"/>
        </w:rPr>
        <w:t xml:space="preserve"> državama </w:t>
      </w:r>
      <w:r w:rsidR="00625FA7" w:rsidRPr="00757427">
        <w:rPr>
          <w:rFonts w:ascii="Times New Roman" w:hAnsi="Times New Roman"/>
          <w:sz w:val="24"/>
          <w:szCs w:val="24"/>
        </w:rPr>
        <w:t xml:space="preserve">srednje </w:t>
      </w:r>
      <w:r w:rsidRPr="00757427">
        <w:rPr>
          <w:rFonts w:ascii="Times New Roman" w:hAnsi="Times New Roman"/>
          <w:sz w:val="24"/>
          <w:szCs w:val="24"/>
        </w:rPr>
        <w:t xml:space="preserve">i </w:t>
      </w:r>
      <w:r w:rsidR="00625FA7" w:rsidRPr="00757427">
        <w:rPr>
          <w:rFonts w:ascii="Times New Roman" w:hAnsi="Times New Roman"/>
          <w:sz w:val="24"/>
          <w:szCs w:val="24"/>
        </w:rPr>
        <w:t xml:space="preserve">istočne </w:t>
      </w:r>
      <w:r w:rsidRPr="00757427">
        <w:rPr>
          <w:rFonts w:ascii="Times New Roman" w:hAnsi="Times New Roman"/>
          <w:sz w:val="24"/>
          <w:szCs w:val="24"/>
        </w:rPr>
        <w:t>Europe</w:t>
      </w:r>
      <w:r w:rsidR="00981936" w:rsidRPr="00757427">
        <w:rPr>
          <w:rFonts w:ascii="Times New Roman" w:hAnsi="Times New Roman"/>
          <w:sz w:val="24"/>
          <w:szCs w:val="24"/>
        </w:rPr>
        <w:t xml:space="preserve"> te da je izuzeta iz opsega primjene EU Direktive o uslugama</w:t>
      </w:r>
      <w:r w:rsidRPr="00757427">
        <w:rPr>
          <w:rFonts w:ascii="Times New Roman" w:hAnsi="Times New Roman"/>
          <w:sz w:val="24"/>
          <w:szCs w:val="24"/>
        </w:rPr>
        <w:t>)</w:t>
      </w:r>
    </w:p>
    <w:p w14:paraId="463B6FED" w14:textId="2C12C73F" w:rsidR="00593DC6" w:rsidRPr="00757427" w:rsidRDefault="00593DC6" w:rsidP="006E31CD">
      <w:pPr>
        <w:pStyle w:val="ListParagraph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57427">
        <w:rPr>
          <w:rFonts w:ascii="Times New Roman" w:hAnsi="Times New Roman"/>
          <w:sz w:val="24"/>
          <w:szCs w:val="24"/>
        </w:rPr>
        <w:t>porezni savjetnici (</w:t>
      </w:r>
      <w:r w:rsidR="003A0776" w:rsidRPr="00757427">
        <w:rPr>
          <w:rFonts w:ascii="Times New Roman" w:hAnsi="Times New Roman"/>
          <w:sz w:val="24"/>
          <w:szCs w:val="24"/>
        </w:rPr>
        <w:t>5</w:t>
      </w:r>
      <w:r w:rsidR="00CF3D04" w:rsidRPr="00757427">
        <w:rPr>
          <w:rFonts w:ascii="Times New Roman" w:hAnsi="Times New Roman"/>
          <w:sz w:val="24"/>
          <w:szCs w:val="24"/>
        </w:rPr>
        <w:t xml:space="preserve"> mjer</w:t>
      </w:r>
      <w:r w:rsidR="003A0776" w:rsidRPr="00757427">
        <w:rPr>
          <w:rFonts w:ascii="Times New Roman" w:hAnsi="Times New Roman"/>
          <w:sz w:val="24"/>
          <w:szCs w:val="24"/>
        </w:rPr>
        <w:t>a</w:t>
      </w:r>
      <w:r w:rsidR="00CF3D04" w:rsidRPr="00757427">
        <w:rPr>
          <w:rFonts w:ascii="Times New Roman" w:hAnsi="Times New Roman"/>
          <w:sz w:val="24"/>
          <w:szCs w:val="24"/>
        </w:rPr>
        <w:t xml:space="preserve">, nastavno na već </w:t>
      </w:r>
      <w:r w:rsidR="00000219" w:rsidRPr="00757427">
        <w:rPr>
          <w:rFonts w:ascii="Times New Roman" w:hAnsi="Times New Roman"/>
          <w:sz w:val="24"/>
          <w:szCs w:val="24"/>
        </w:rPr>
        <w:t xml:space="preserve">provedenih </w:t>
      </w:r>
      <w:r w:rsidR="00CF3D04" w:rsidRPr="00757427">
        <w:rPr>
          <w:rFonts w:ascii="Times New Roman" w:hAnsi="Times New Roman"/>
          <w:sz w:val="24"/>
          <w:szCs w:val="24"/>
        </w:rPr>
        <w:t>9 mjera</w:t>
      </w:r>
      <w:r w:rsidRPr="00757427">
        <w:rPr>
          <w:rFonts w:ascii="Times New Roman" w:hAnsi="Times New Roman"/>
          <w:sz w:val="24"/>
          <w:szCs w:val="24"/>
        </w:rPr>
        <w:t>)</w:t>
      </w:r>
    </w:p>
    <w:p w14:paraId="05DC2558" w14:textId="1B488B1B" w:rsidR="00593DC6" w:rsidRPr="00757427" w:rsidRDefault="00593DC6" w:rsidP="006E31CD">
      <w:pPr>
        <w:pStyle w:val="ListParagraph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57427">
        <w:rPr>
          <w:rFonts w:ascii="Times New Roman" w:hAnsi="Times New Roman"/>
          <w:sz w:val="24"/>
          <w:szCs w:val="24"/>
        </w:rPr>
        <w:t>revizori (</w:t>
      </w:r>
      <w:r w:rsidR="003A0776" w:rsidRPr="00757427">
        <w:rPr>
          <w:rFonts w:ascii="Times New Roman" w:hAnsi="Times New Roman"/>
          <w:sz w:val="24"/>
          <w:szCs w:val="24"/>
        </w:rPr>
        <w:t>5</w:t>
      </w:r>
      <w:r w:rsidR="00CF3D04" w:rsidRPr="00757427">
        <w:rPr>
          <w:rFonts w:ascii="Times New Roman" w:hAnsi="Times New Roman"/>
          <w:sz w:val="24"/>
          <w:szCs w:val="24"/>
        </w:rPr>
        <w:t xml:space="preserve"> mjera, nastavno na već </w:t>
      </w:r>
      <w:r w:rsidR="00000219" w:rsidRPr="00757427">
        <w:rPr>
          <w:rFonts w:ascii="Times New Roman" w:hAnsi="Times New Roman"/>
          <w:sz w:val="24"/>
          <w:szCs w:val="24"/>
        </w:rPr>
        <w:t xml:space="preserve">provedenih </w:t>
      </w:r>
      <w:r w:rsidR="00CF3D04" w:rsidRPr="00757427">
        <w:rPr>
          <w:rFonts w:ascii="Times New Roman" w:hAnsi="Times New Roman"/>
          <w:sz w:val="24"/>
          <w:szCs w:val="24"/>
        </w:rPr>
        <w:t>17 mjera</w:t>
      </w:r>
      <w:r w:rsidRPr="00757427">
        <w:rPr>
          <w:rFonts w:ascii="Times New Roman" w:hAnsi="Times New Roman"/>
          <w:sz w:val="24"/>
          <w:szCs w:val="24"/>
        </w:rPr>
        <w:t>)</w:t>
      </w:r>
    </w:p>
    <w:p w14:paraId="2FD60B58" w14:textId="43F61002" w:rsidR="00593DC6" w:rsidRPr="00757427" w:rsidRDefault="00593DC6" w:rsidP="006E31CD">
      <w:pPr>
        <w:pStyle w:val="ListParagraph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57427">
        <w:rPr>
          <w:rFonts w:ascii="Times New Roman" w:hAnsi="Times New Roman"/>
          <w:sz w:val="24"/>
          <w:szCs w:val="24"/>
        </w:rPr>
        <w:t>geodeti (</w:t>
      </w:r>
      <w:r w:rsidR="00CF3D04" w:rsidRPr="00757427">
        <w:rPr>
          <w:rFonts w:ascii="Times New Roman" w:hAnsi="Times New Roman"/>
          <w:sz w:val="24"/>
          <w:szCs w:val="24"/>
        </w:rPr>
        <w:t>1 mjera</w:t>
      </w:r>
      <w:r w:rsidR="00157CC2" w:rsidRPr="00757427">
        <w:rPr>
          <w:rFonts w:ascii="Times New Roman" w:hAnsi="Times New Roman"/>
          <w:sz w:val="24"/>
          <w:szCs w:val="24"/>
        </w:rPr>
        <w:t>,</w:t>
      </w:r>
      <w:r w:rsidR="00CF3D04" w:rsidRPr="00757427">
        <w:rPr>
          <w:rFonts w:ascii="Times New Roman" w:hAnsi="Times New Roman"/>
          <w:sz w:val="24"/>
          <w:szCs w:val="24"/>
        </w:rPr>
        <w:t xml:space="preserve"> </w:t>
      </w:r>
      <w:r w:rsidRPr="00757427">
        <w:rPr>
          <w:rFonts w:ascii="Times New Roman" w:hAnsi="Times New Roman"/>
          <w:sz w:val="24"/>
          <w:szCs w:val="24"/>
        </w:rPr>
        <w:t xml:space="preserve">nastavno na već </w:t>
      </w:r>
      <w:r w:rsidR="00000219" w:rsidRPr="00757427">
        <w:rPr>
          <w:rFonts w:ascii="Times New Roman" w:hAnsi="Times New Roman"/>
          <w:sz w:val="24"/>
          <w:szCs w:val="24"/>
        </w:rPr>
        <w:t xml:space="preserve">provedenih </w:t>
      </w:r>
      <w:r w:rsidR="00CF3D04" w:rsidRPr="00757427">
        <w:rPr>
          <w:rFonts w:ascii="Times New Roman" w:hAnsi="Times New Roman"/>
          <w:sz w:val="24"/>
          <w:szCs w:val="24"/>
        </w:rPr>
        <w:t>7 mjera</w:t>
      </w:r>
      <w:r w:rsidRPr="00757427">
        <w:rPr>
          <w:rFonts w:ascii="Times New Roman" w:hAnsi="Times New Roman"/>
          <w:sz w:val="24"/>
          <w:szCs w:val="24"/>
        </w:rPr>
        <w:t>)</w:t>
      </w:r>
    </w:p>
    <w:p w14:paraId="6B8D87D0" w14:textId="2EEC9604" w:rsidR="00593DC6" w:rsidRPr="00757427" w:rsidRDefault="00593DC6" w:rsidP="00337642">
      <w:pPr>
        <w:pStyle w:val="ListParagraph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57427">
        <w:rPr>
          <w:rFonts w:ascii="Times New Roman" w:hAnsi="Times New Roman"/>
          <w:sz w:val="24"/>
          <w:szCs w:val="24"/>
        </w:rPr>
        <w:t>peljari</w:t>
      </w:r>
      <w:r w:rsidR="00CF3D04" w:rsidRPr="00757427">
        <w:rPr>
          <w:rFonts w:ascii="Times New Roman" w:hAnsi="Times New Roman"/>
          <w:sz w:val="24"/>
          <w:szCs w:val="24"/>
        </w:rPr>
        <w:t xml:space="preserve"> (1 mjera</w:t>
      </w:r>
      <w:r w:rsidR="00981936" w:rsidRPr="00757427">
        <w:rPr>
          <w:rFonts w:ascii="Times New Roman" w:hAnsi="Times New Roman"/>
          <w:sz w:val="24"/>
          <w:szCs w:val="24"/>
        </w:rPr>
        <w:t>, a uzimajući u obzir da je ova profesija</w:t>
      </w:r>
      <w:r w:rsidR="00000219" w:rsidRPr="00757427">
        <w:rPr>
          <w:rFonts w:ascii="Times New Roman" w:hAnsi="Times New Roman"/>
          <w:sz w:val="24"/>
          <w:szCs w:val="24"/>
        </w:rPr>
        <w:t xml:space="preserve"> s obzirom na sektor prometa</w:t>
      </w:r>
      <w:r w:rsidR="00981936" w:rsidRPr="00757427">
        <w:rPr>
          <w:rFonts w:ascii="Times New Roman" w:hAnsi="Times New Roman"/>
          <w:sz w:val="24"/>
          <w:szCs w:val="24"/>
        </w:rPr>
        <w:t xml:space="preserve"> izuzeta iz opsega primjene </w:t>
      </w:r>
      <w:r w:rsidR="00CA56B4" w:rsidRPr="00757427">
        <w:rPr>
          <w:rFonts w:ascii="Times New Roman" w:hAnsi="Times New Roman"/>
          <w:sz w:val="24"/>
          <w:szCs w:val="24"/>
        </w:rPr>
        <w:t xml:space="preserve">EU </w:t>
      </w:r>
      <w:r w:rsidR="00981936" w:rsidRPr="00757427">
        <w:rPr>
          <w:rFonts w:ascii="Times New Roman" w:hAnsi="Times New Roman"/>
          <w:sz w:val="24"/>
          <w:szCs w:val="24"/>
        </w:rPr>
        <w:t>Direktive o uslugama</w:t>
      </w:r>
      <w:r w:rsidR="00CF3D04" w:rsidRPr="00757427">
        <w:rPr>
          <w:rFonts w:ascii="Times New Roman" w:hAnsi="Times New Roman"/>
          <w:sz w:val="24"/>
          <w:szCs w:val="24"/>
        </w:rPr>
        <w:t>)</w:t>
      </w:r>
      <w:r w:rsidR="00E54194" w:rsidRPr="00757427">
        <w:rPr>
          <w:rFonts w:ascii="Times New Roman" w:hAnsi="Times New Roman"/>
          <w:sz w:val="24"/>
          <w:szCs w:val="24"/>
        </w:rPr>
        <w:t>.</w:t>
      </w:r>
    </w:p>
    <w:p w14:paraId="57AB9194" w14:textId="33BA84B1" w:rsidR="00000219" w:rsidRPr="00757427" w:rsidRDefault="00000219" w:rsidP="00337642">
      <w:pPr>
        <w:jc w:val="both"/>
      </w:pPr>
    </w:p>
    <w:p w14:paraId="0A57B86A" w14:textId="63B1BFBE" w:rsidR="00337642" w:rsidRPr="00757427" w:rsidRDefault="00981936" w:rsidP="000C3A61">
      <w:pPr>
        <w:jc w:val="both"/>
      </w:pPr>
      <w:r w:rsidRPr="00757427">
        <w:t xml:space="preserve">Provedba dijela mjera </w:t>
      </w:r>
      <w:r w:rsidR="001F27A9">
        <w:t>koje su u</w:t>
      </w:r>
      <w:r w:rsidRPr="00757427">
        <w:t xml:space="preserve"> opseg</w:t>
      </w:r>
      <w:r w:rsidR="001F27A9">
        <w:t>u</w:t>
      </w:r>
      <w:r w:rsidRPr="00757427">
        <w:t xml:space="preserve"> OECD-ove metodologije </w:t>
      </w:r>
      <w:r w:rsidR="00D227FB" w:rsidRPr="00757427">
        <w:t xml:space="preserve">PMR </w:t>
      </w:r>
      <w:r w:rsidRPr="00757427">
        <w:t xml:space="preserve">dovesti </w:t>
      </w:r>
      <w:r w:rsidR="001B292D" w:rsidRPr="00757427">
        <w:t xml:space="preserve">će do </w:t>
      </w:r>
      <w:r w:rsidRPr="00757427">
        <w:t xml:space="preserve">poboljšanog rezultata prema novom </w:t>
      </w:r>
      <w:r w:rsidR="00337642" w:rsidRPr="00757427">
        <w:t>OECD</w:t>
      </w:r>
      <w:r w:rsidR="00D227FB" w:rsidRPr="00757427">
        <w:t>-ovom izvješću</w:t>
      </w:r>
      <w:r w:rsidR="00337642" w:rsidRPr="00757427">
        <w:t xml:space="preserve"> </w:t>
      </w:r>
      <w:r w:rsidRPr="00757427">
        <w:t>PMR 2023 (koje obuhvaća petogodišnje razdoblje)</w:t>
      </w:r>
      <w:r w:rsidR="00337642" w:rsidRPr="00757427">
        <w:t xml:space="preserve"> i to u segmentu profesionalnih usluga</w:t>
      </w:r>
      <w:r w:rsidR="001B292D" w:rsidRPr="00757427">
        <w:t>. Tako će se regulacija odvjetničkih usluga približiti prosjeku EU-a</w:t>
      </w:r>
      <w:r w:rsidR="00337642" w:rsidRPr="00757427">
        <w:t xml:space="preserve"> uslijed povećanja fleksibilnosti određivanja cijena i oglašavanja</w:t>
      </w:r>
      <w:r w:rsidR="001B292D" w:rsidRPr="00757427">
        <w:t xml:space="preserve">, dok će se regulacija javnih bilježnika sniziti u okviru usporedivih kontinentalnih država </w:t>
      </w:r>
      <w:r w:rsidR="000C3A61" w:rsidRPr="00757427">
        <w:t>s</w:t>
      </w:r>
      <w:r w:rsidR="001B292D" w:rsidRPr="00757427">
        <w:t xml:space="preserve">rednje i </w:t>
      </w:r>
      <w:r w:rsidR="000C3A61" w:rsidRPr="00757427">
        <w:t>i</w:t>
      </w:r>
      <w:r w:rsidR="001B292D" w:rsidRPr="00757427">
        <w:t>stočne Europe</w:t>
      </w:r>
      <w:r w:rsidR="00337642" w:rsidRPr="00757427">
        <w:t xml:space="preserve"> uslijed skraćenja opsega radnog iskustva za dobivanje licence</w:t>
      </w:r>
      <w:r w:rsidR="001B292D" w:rsidRPr="00757427">
        <w:t>.</w:t>
      </w:r>
      <w:r w:rsidR="00337642" w:rsidRPr="00757427">
        <w:t xml:space="preserve"> Ostale mjere nisu obuhvaćene </w:t>
      </w:r>
      <w:r w:rsidR="00263D7A" w:rsidRPr="00757427">
        <w:t xml:space="preserve">dosadašnjim opsegom PMR </w:t>
      </w:r>
      <w:r w:rsidR="00337642" w:rsidRPr="00757427">
        <w:t>izvješć</w:t>
      </w:r>
      <w:r w:rsidR="00263D7A" w:rsidRPr="00757427">
        <w:t>a</w:t>
      </w:r>
      <w:r w:rsidR="00337642" w:rsidRPr="00757427">
        <w:t>, ali će temeljem navedene metodologije dati realni doprinos olakšanju pristupa tržištu i poticanju konkurencije</w:t>
      </w:r>
      <w:r w:rsidR="000C3A61" w:rsidRPr="00757427">
        <w:t xml:space="preserve"> u području usluga</w:t>
      </w:r>
      <w:r w:rsidR="00337642" w:rsidRPr="00757427">
        <w:t>.</w:t>
      </w:r>
    </w:p>
    <w:p w14:paraId="3AD0DFD4" w14:textId="77777777" w:rsidR="00263D7A" w:rsidRPr="00757427" w:rsidRDefault="00263D7A" w:rsidP="000C3A61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AAF559" w14:textId="6B3B5FEF" w:rsidR="00981936" w:rsidRPr="00757427" w:rsidRDefault="000C3A61" w:rsidP="000C3A61">
      <w:pPr>
        <w:jc w:val="both"/>
      </w:pPr>
      <w:r w:rsidRPr="00757427">
        <w:t>Također, p</w:t>
      </w:r>
      <w:r w:rsidR="00337642" w:rsidRPr="00757427">
        <w:t xml:space="preserve">rovedba dijela mjera </w:t>
      </w:r>
      <w:r w:rsidR="001F27A9">
        <w:t xml:space="preserve">iz ovog plana </w:t>
      </w:r>
      <w:r w:rsidR="00337642" w:rsidRPr="00757427">
        <w:t xml:space="preserve">može u okviru Globalnog izvješća o konkurentnosti </w:t>
      </w:r>
      <w:r w:rsidR="00E94537" w:rsidRPr="00757427">
        <w:t xml:space="preserve">od strane </w:t>
      </w:r>
      <w:r w:rsidR="00337642" w:rsidRPr="00757427">
        <w:t xml:space="preserve">Svjetskog gospodarskog foruma </w:t>
      </w:r>
      <w:r w:rsidR="00CF50B2" w:rsidRPr="00757427">
        <w:t xml:space="preserve">(WEF) </w:t>
      </w:r>
      <w:r w:rsidR="00337642" w:rsidRPr="00757427">
        <w:t xml:space="preserve">doprinijeti rezultatu pokazatelja </w:t>
      </w:r>
      <w:r w:rsidR="00337642" w:rsidRPr="00757427">
        <w:rPr>
          <w:i/>
        </w:rPr>
        <w:t>Konkurencija u uslugama</w:t>
      </w:r>
      <w:r w:rsidR="00337642" w:rsidRPr="00757427">
        <w:t>, gdje se anketno oc</w:t>
      </w:r>
      <w:r w:rsidR="00693356" w:rsidRPr="00757427">
        <w:t xml:space="preserve">jenjuje konkurentnost pravnih, </w:t>
      </w:r>
      <w:r w:rsidR="00337642" w:rsidRPr="00757427">
        <w:t>tehničkih</w:t>
      </w:r>
      <w:r w:rsidR="00693356" w:rsidRPr="00757427">
        <w:t xml:space="preserve"> i mrežnih usluga te</w:t>
      </w:r>
      <w:r w:rsidR="00337642" w:rsidRPr="00757427">
        <w:t xml:space="preserve"> trgovine </w:t>
      </w:r>
      <w:r w:rsidR="00693356" w:rsidRPr="00757427">
        <w:t>na malo.</w:t>
      </w:r>
    </w:p>
    <w:p w14:paraId="2B280694" w14:textId="0DCE53D6" w:rsidR="00337642" w:rsidRPr="00757427" w:rsidRDefault="00337642" w:rsidP="000C3A61">
      <w:pPr>
        <w:jc w:val="both"/>
      </w:pPr>
    </w:p>
    <w:p w14:paraId="45CC6608" w14:textId="2E83569B" w:rsidR="00663D61" w:rsidRDefault="00BA1DAE" w:rsidP="002532FD">
      <w:pPr>
        <w:jc w:val="both"/>
      </w:pPr>
      <w:r w:rsidRPr="00757427">
        <w:t>Niti jedna mjera nema fiskalni učinak na proračunske rashode</w:t>
      </w:r>
      <w:r w:rsidR="006E31CD" w:rsidRPr="00757427">
        <w:t xml:space="preserve">. </w:t>
      </w:r>
      <w:r w:rsidR="00CC3369" w:rsidRPr="00757427">
        <w:t>S druge strane, p</w:t>
      </w:r>
      <w:r w:rsidR="006E31CD" w:rsidRPr="00757427">
        <w:t xml:space="preserve">rovedba mjera može </w:t>
      </w:r>
      <w:r w:rsidR="00E94537" w:rsidRPr="00757427">
        <w:t xml:space="preserve">dugoročno utjecati na </w:t>
      </w:r>
      <w:r w:rsidR="006E31CD" w:rsidRPr="00757427">
        <w:t>proračunsk</w:t>
      </w:r>
      <w:r w:rsidR="00E94537" w:rsidRPr="00757427">
        <w:t>e</w:t>
      </w:r>
      <w:r w:rsidR="006E31CD" w:rsidRPr="00757427">
        <w:t xml:space="preserve"> prihod</w:t>
      </w:r>
      <w:r w:rsidR="00E94537" w:rsidRPr="00757427">
        <w:t>e</w:t>
      </w:r>
      <w:r w:rsidR="006E31CD" w:rsidRPr="00757427">
        <w:t xml:space="preserve"> uslijed povećane tržišne aktivnosti kao posljedice </w:t>
      </w:r>
      <w:r w:rsidR="00CC3369" w:rsidRPr="00757427">
        <w:t xml:space="preserve">konkurentskih ulazaka </w:t>
      </w:r>
      <w:r w:rsidR="006E31CD" w:rsidRPr="00757427">
        <w:t>novih pružatelja usluga</w:t>
      </w:r>
      <w:r w:rsidR="00CC3369" w:rsidRPr="00757427">
        <w:t xml:space="preserve"> odnosno poduzetnika na tržište</w:t>
      </w:r>
      <w:r w:rsidRPr="00757427">
        <w:t>.</w:t>
      </w:r>
    </w:p>
    <w:p w14:paraId="76D09DA3" w14:textId="54113C66" w:rsidR="00663D61" w:rsidRDefault="00663D61" w:rsidP="002532FD">
      <w:pPr>
        <w:jc w:val="both"/>
      </w:pPr>
    </w:p>
    <w:p w14:paraId="3446EF58" w14:textId="03089295" w:rsidR="00EC0AEF" w:rsidRDefault="00EC0AEF" w:rsidP="002532FD">
      <w:pPr>
        <w:jc w:val="both"/>
      </w:pPr>
    </w:p>
    <w:p w14:paraId="7AEBFDE5" w14:textId="1EE5D7F4" w:rsidR="00EC0AEF" w:rsidRDefault="00EC0AEF" w:rsidP="002532FD">
      <w:pPr>
        <w:jc w:val="both"/>
      </w:pPr>
    </w:p>
    <w:p w14:paraId="729A7032" w14:textId="7BC6B39B" w:rsidR="00EC0AEF" w:rsidRDefault="00EC0AEF" w:rsidP="002532FD">
      <w:pPr>
        <w:jc w:val="both"/>
      </w:pPr>
    </w:p>
    <w:p w14:paraId="10E53D05" w14:textId="7CCC605E" w:rsidR="00EC0AEF" w:rsidRDefault="00EC0AEF" w:rsidP="002532FD">
      <w:pPr>
        <w:jc w:val="both"/>
      </w:pPr>
    </w:p>
    <w:p w14:paraId="4799DF7F" w14:textId="21046769" w:rsidR="00EC0AEF" w:rsidRDefault="00EC0AEF" w:rsidP="002532FD">
      <w:pPr>
        <w:jc w:val="both"/>
      </w:pPr>
    </w:p>
    <w:p w14:paraId="40FFF632" w14:textId="5728D6A7" w:rsidR="00EC0AEF" w:rsidRDefault="00EC0AEF" w:rsidP="002532FD">
      <w:pPr>
        <w:jc w:val="both"/>
      </w:pPr>
    </w:p>
    <w:p w14:paraId="54BFA9BF" w14:textId="77777777" w:rsidR="00EC0AEF" w:rsidRPr="00693356" w:rsidRDefault="00EC0AEF" w:rsidP="002532FD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5488"/>
        <w:gridCol w:w="2432"/>
        <w:gridCol w:w="1173"/>
      </w:tblGrid>
      <w:tr w:rsidR="001218F6" w:rsidRPr="00BF052F" w14:paraId="5CB616DB" w14:textId="3688FF8F" w:rsidTr="00663D61">
        <w:trPr>
          <w:trHeight w:val="242"/>
        </w:trPr>
        <w:tc>
          <w:tcPr>
            <w:tcW w:w="278" w:type="pct"/>
            <w:shd w:val="clear" w:color="auto" w:fill="1F497D" w:themeFill="text2"/>
            <w:vAlign w:val="center"/>
          </w:tcPr>
          <w:p w14:paraId="74E5678E" w14:textId="78895033" w:rsidR="001218F6" w:rsidRPr="00BF052F" w:rsidRDefault="001218F6" w:rsidP="00CC3369">
            <w:pPr>
              <w:jc w:val="center"/>
              <w:rPr>
                <w:b/>
                <w:color w:val="FFFFFF" w:themeColor="background1"/>
              </w:rPr>
            </w:pPr>
            <w:r w:rsidRPr="00BF052F">
              <w:rPr>
                <w:b/>
                <w:color w:val="FFFFFF" w:themeColor="background1"/>
              </w:rPr>
              <w:t>#</w:t>
            </w:r>
          </w:p>
        </w:tc>
        <w:tc>
          <w:tcPr>
            <w:tcW w:w="2850" w:type="pct"/>
            <w:shd w:val="clear" w:color="auto" w:fill="1F497D" w:themeFill="text2"/>
            <w:vAlign w:val="center"/>
          </w:tcPr>
          <w:p w14:paraId="1FC2B650" w14:textId="4E3DE0F4" w:rsidR="001218F6" w:rsidRPr="00BF052F" w:rsidRDefault="001218F6" w:rsidP="00CC3369">
            <w:pPr>
              <w:jc w:val="center"/>
              <w:rPr>
                <w:b/>
                <w:color w:val="FFFFFF" w:themeColor="background1"/>
              </w:rPr>
            </w:pPr>
            <w:bookmarkStart w:id="1" w:name="_Hlk530952957"/>
            <w:r w:rsidRPr="00BF052F">
              <w:rPr>
                <w:b/>
                <w:color w:val="FFFFFF" w:themeColor="background1"/>
              </w:rPr>
              <w:t>Mjere</w:t>
            </w:r>
          </w:p>
        </w:tc>
        <w:tc>
          <w:tcPr>
            <w:tcW w:w="1263" w:type="pct"/>
            <w:shd w:val="clear" w:color="auto" w:fill="1F497D" w:themeFill="text2"/>
            <w:vAlign w:val="center"/>
          </w:tcPr>
          <w:p w14:paraId="0BD8DB21" w14:textId="4E75C2A7" w:rsidR="001218F6" w:rsidRPr="00BF052F" w:rsidRDefault="001218F6" w:rsidP="00CC3369">
            <w:pPr>
              <w:jc w:val="center"/>
              <w:rPr>
                <w:b/>
                <w:color w:val="FFFFFF" w:themeColor="background1"/>
              </w:rPr>
            </w:pPr>
            <w:r w:rsidRPr="00BF052F">
              <w:rPr>
                <w:b/>
                <w:color w:val="FFFFFF" w:themeColor="background1"/>
              </w:rPr>
              <w:t>Nadležna tijela</w:t>
            </w:r>
          </w:p>
        </w:tc>
        <w:tc>
          <w:tcPr>
            <w:tcW w:w="609" w:type="pct"/>
            <w:shd w:val="clear" w:color="auto" w:fill="1F497D" w:themeFill="text2"/>
            <w:vAlign w:val="center"/>
          </w:tcPr>
          <w:p w14:paraId="195B4015" w14:textId="422DD24F" w:rsidR="001218F6" w:rsidRPr="00BF052F" w:rsidRDefault="001218F6" w:rsidP="00CC3369">
            <w:pPr>
              <w:jc w:val="center"/>
              <w:rPr>
                <w:b/>
                <w:color w:val="FFFFFF" w:themeColor="background1"/>
              </w:rPr>
            </w:pPr>
            <w:r w:rsidRPr="00BF052F">
              <w:rPr>
                <w:b/>
                <w:color w:val="FFFFFF" w:themeColor="background1"/>
              </w:rPr>
              <w:t xml:space="preserve">Rokovi </w:t>
            </w:r>
          </w:p>
        </w:tc>
      </w:tr>
      <w:tr w:rsidR="001218F6" w:rsidRPr="00BF052F" w14:paraId="586DDA76" w14:textId="77777777" w:rsidTr="00663D61">
        <w:trPr>
          <w:trHeight w:val="251"/>
        </w:trPr>
        <w:tc>
          <w:tcPr>
            <w:tcW w:w="278" w:type="pct"/>
            <w:shd w:val="clear" w:color="auto" w:fill="1F497D" w:themeFill="text2"/>
            <w:vAlign w:val="center"/>
          </w:tcPr>
          <w:p w14:paraId="61A8377F" w14:textId="77777777" w:rsidR="001218F6" w:rsidRPr="00BF052F" w:rsidRDefault="001218F6" w:rsidP="00C612AE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850" w:type="pct"/>
            <w:shd w:val="clear" w:color="auto" w:fill="1F497D" w:themeFill="text2"/>
            <w:vAlign w:val="center"/>
          </w:tcPr>
          <w:p w14:paraId="0D65E1C6" w14:textId="5135906D" w:rsidR="001218F6" w:rsidRPr="00BF052F" w:rsidRDefault="001218F6" w:rsidP="00E94537">
            <w:pPr>
              <w:rPr>
                <w:b/>
                <w:color w:val="FFFFFF" w:themeColor="background1"/>
              </w:rPr>
            </w:pPr>
            <w:r w:rsidRPr="00BF052F">
              <w:rPr>
                <w:b/>
                <w:color w:val="FFFFFF" w:themeColor="background1"/>
              </w:rPr>
              <w:t>Odvjetnici</w:t>
            </w:r>
          </w:p>
        </w:tc>
        <w:tc>
          <w:tcPr>
            <w:tcW w:w="1263" w:type="pct"/>
            <w:shd w:val="clear" w:color="auto" w:fill="1F497D" w:themeFill="text2"/>
            <w:vAlign w:val="center"/>
          </w:tcPr>
          <w:p w14:paraId="18932C38" w14:textId="77777777" w:rsidR="001218F6" w:rsidRPr="00BF052F" w:rsidRDefault="001218F6" w:rsidP="00C612AE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609" w:type="pct"/>
            <w:shd w:val="clear" w:color="auto" w:fill="1F497D" w:themeFill="text2"/>
            <w:vAlign w:val="center"/>
          </w:tcPr>
          <w:p w14:paraId="6114182A" w14:textId="77777777" w:rsidR="001218F6" w:rsidRPr="00BF052F" w:rsidRDefault="001218F6" w:rsidP="00C612AE">
            <w:pPr>
              <w:jc w:val="center"/>
              <w:rPr>
                <w:b/>
                <w:color w:val="FFFFFF" w:themeColor="background1"/>
              </w:rPr>
            </w:pPr>
          </w:p>
        </w:tc>
      </w:tr>
      <w:bookmarkEnd w:id="1"/>
      <w:tr w:rsidR="001218F6" w:rsidRPr="00BF052F" w14:paraId="30350116" w14:textId="203D48E7" w:rsidTr="00663D61">
        <w:trPr>
          <w:trHeight w:val="555"/>
        </w:trPr>
        <w:tc>
          <w:tcPr>
            <w:tcW w:w="278" w:type="pct"/>
            <w:vAlign w:val="center"/>
          </w:tcPr>
          <w:p w14:paraId="0F86D5B3" w14:textId="45660C91" w:rsidR="001218F6" w:rsidRPr="00BF052F" w:rsidRDefault="001218F6" w:rsidP="00CC3369">
            <w:pPr>
              <w:tabs>
                <w:tab w:val="left" w:pos="360"/>
              </w:tabs>
            </w:pPr>
            <w:r w:rsidRPr="00BF052F">
              <w:t>1</w:t>
            </w:r>
          </w:p>
        </w:tc>
        <w:tc>
          <w:tcPr>
            <w:tcW w:w="2850" w:type="pct"/>
            <w:shd w:val="clear" w:color="auto" w:fill="auto"/>
            <w:vAlign w:val="center"/>
          </w:tcPr>
          <w:p w14:paraId="616233D6" w14:textId="619C95E7" w:rsidR="001218F6" w:rsidRPr="00BF052F" w:rsidRDefault="001218F6" w:rsidP="00F936A3">
            <w:r w:rsidRPr="00BF052F">
              <w:t>Omogućiti dodatno odstupanje od fiksnih tarifa za odvjetničke usluge ukidanjem obveze pridržavanja minimalnog iznosa satnice za rad odvjetnika</w:t>
            </w:r>
          </w:p>
          <w:p w14:paraId="42C0E482" w14:textId="1B04F117" w:rsidR="001218F6" w:rsidRPr="00BF052F" w:rsidRDefault="001218F6" w:rsidP="00F936A3"/>
        </w:tc>
        <w:tc>
          <w:tcPr>
            <w:tcW w:w="1263" w:type="pct"/>
            <w:shd w:val="clear" w:color="auto" w:fill="auto"/>
            <w:vAlign w:val="center"/>
          </w:tcPr>
          <w:p w14:paraId="0F6B78CE" w14:textId="05C49573" w:rsidR="001218F6" w:rsidRPr="00BF052F" w:rsidRDefault="001218F6" w:rsidP="00F936A3">
            <w:r w:rsidRPr="00BF052F">
              <w:t>Ministarstvo pravosuđa i uprave (u suradnji s Hrvatskom odvjetničkom komorom)</w:t>
            </w:r>
          </w:p>
          <w:p w14:paraId="7D0B16B4" w14:textId="634CF94D" w:rsidR="001218F6" w:rsidRPr="00BF052F" w:rsidRDefault="001218F6" w:rsidP="00F936A3"/>
        </w:tc>
        <w:tc>
          <w:tcPr>
            <w:tcW w:w="609" w:type="pct"/>
            <w:shd w:val="clear" w:color="auto" w:fill="auto"/>
            <w:vAlign w:val="center"/>
          </w:tcPr>
          <w:p w14:paraId="2D730289" w14:textId="29062512" w:rsidR="001218F6" w:rsidRPr="00BF052F" w:rsidRDefault="001218F6" w:rsidP="00F936A3">
            <w:r w:rsidRPr="00BF052F">
              <w:t>IV. kvartal 2021.</w:t>
            </w:r>
          </w:p>
        </w:tc>
      </w:tr>
      <w:tr w:rsidR="001218F6" w:rsidRPr="00BF052F" w14:paraId="46A7DF80" w14:textId="77777777" w:rsidTr="00663D61">
        <w:trPr>
          <w:trHeight w:val="555"/>
        </w:trPr>
        <w:tc>
          <w:tcPr>
            <w:tcW w:w="278" w:type="pct"/>
            <w:vAlign w:val="center"/>
          </w:tcPr>
          <w:p w14:paraId="56FB8597" w14:textId="7CD612C5" w:rsidR="001218F6" w:rsidRPr="00BF052F" w:rsidRDefault="001218F6" w:rsidP="00CC3369">
            <w:pPr>
              <w:tabs>
                <w:tab w:val="left" w:pos="360"/>
              </w:tabs>
            </w:pPr>
            <w:r w:rsidRPr="00BF052F">
              <w:t>2</w:t>
            </w:r>
          </w:p>
        </w:tc>
        <w:tc>
          <w:tcPr>
            <w:tcW w:w="2850" w:type="pct"/>
            <w:shd w:val="clear" w:color="auto" w:fill="auto"/>
            <w:vAlign w:val="center"/>
          </w:tcPr>
          <w:p w14:paraId="0A40C328" w14:textId="15D19605" w:rsidR="001218F6" w:rsidRPr="00BF052F" w:rsidRDefault="001218F6" w:rsidP="00F936A3">
            <w:r w:rsidRPr="00BF052F">
              <w:t>Dodatno sniziti ograničenja oglašavanja i reklamiranja odvjetničke djelatnosti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718B8C14" w14:textId="38125BA7" w:rsidR="001218F6" w:rsidRPr="00BF052F" w:rsidRDefault="001218F6" w:rsidP="00F936A3">
            <w:r w:rsidRPr="00BF052F">
              <w:t>Ministarstvo pravosuđa i uprave (u suradnji s Hrvatskom odvjetničkom komorom)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1189BE19" w14:textId="5707B5EB" w:rsidR="001218F6" w:rsidRPr="00BF052F" w:rsidRDefault="001218F6" w:rsidP="00F936A3">
            <w:r w:rsidRPr="00BF052F">
              <w:t>IV. kvartal 2021.</w:t>
            </w:r>
          </w:p>
        </w:tc>
      </w:tr>
      <w:tr w:rsidR="001218F6" w:rsidRPr="00BF052F" w14:paraId="247F32E7" w14:textId="77777777" w:rsidTr="00663D61">
        <w:trPr>
          <w:trHeight w:val="555"/>
        </w:trPr>
        <w:tc>
          <w:tcPr>
            <w:tcW w:w="278" w:type="pct"/>
            <w:vAlign w:val="center"/>
          </w:tcPr>
          <w:p w14:paraId="401D25DB" w14:textId="49AA4356" w:rsidR="001218F6" w:rsidRPr="00BF052F" w:rsidRDefault="001218F6" w:rsidP="00CC3369">
            <w:pPr>
              <w:tabs>
                <w:tab w:val="left" w:pos="360"/>
              </w:tabs>
            </w:pPr>
            <w:r w:rsidRPr="00BF052F">
              <w:t>3</w:t>
            </w:r>
          </w:p>
        </w:tc>
        <w:tc>
          <w:tcPr>
            <w:tcW w:w="2850" w:type="pct"/>
            <w:shd w:val="clear" w:color="auto" w:fill="auto"/>
            <w:vAlign w:val="center"/>
          </w:tcPr>
          <w:p w14:paraId="3942234B" w14:textId="4BC7DACB" w:rsidR="001218F6" w:rsidRPr="00BF052F" w:rsidRDefault="001218F6" w:rsidP="00F936A3">
            <w:r w:rsidRPr="00BF052F">
              <w:t>Omogućiti hrvatskim odvjetnicima obavljanje odvjetničke djelatnosti u trgovačkim društvima u drugim državama članicama Europske unije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3950BAD4" w14:textId="266529AC" w:rsidR="001218F6" w:rsidRPr="00BF052F" w:rsidRDefault="001218F6" w:rsidP="00F936A3">
            <w:r w:rsidRPr="00BF052F">
              <w:t>Ministarstvo pravosuđa i uprave (u suradnji s Hrvatskom odvjetničkom komorom)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691C34E6" w14:textId="0D1597E3" w:rsidR="001218F6" w:rsidRPr="00BF052F" w:rsidRDefault="001218F6" w:rsidP="00F936A3">
            <w:r w:rsidRPr="00BF052F">
              <w:t>IV. kvartal 2021.</w:t>
            </w:r>
          </w:p>
        </w:tc>
      </w:tr>
      <w:tr w:rsidR="001218F6" w:rsidRPr="00BF052F" w14:paraId="303D1354" w14:textId="77777777" w:rsidTr="00663D61">
        <w:trPr>
          <w:trHeight w:val="555"/>
        </w:trPr>
        <w:tc>
          <w:tcPr>
            <w:tcW w:w="278" w:type="pct"/>
            <w:vAlign w:val="center"/>
          </w:tcPr>
          <w:p w14:paraId="6F981968" w14:textId="56B00DE6" w:rsidR="001218F6" w:rsidRPr="00BF052F" w:rsidRDefault="001218F6" w:rsidP="00CC3369">
            <w:pPr>
              <w:tabs>
                <w:tab w:val="left" w:pos="360"/>
              </w:tabs>
            </w:pPr>
            <w:r w:rsidRPr="00BF052F">
              <w:t>4</w:t>
            </w:r>
          </w:p>
        </w:tc>
        <w:tc>
          <w:tcPr>
            <w:tcW w:w="2850" w:type="pct"/>
            <w:shd w:val="clear" w:color="auto" w:fill="auto"/>
            <w:vAlign w:val="center"/>
          </w:tcPr>
          <w:p w14:paraId="3913A7C3" w14:textId="29A5E54B" w:rsidR="001218F6" w:rsidRPr="00BF052F" w:rsidRDefault="001218F6" w:rsidP="00F936A3">
            <w:r w:rsidRPr="00BF052F">
              <w:t>Ukinuti obvezu podnošenja obavijesti Hrvatskoj odvjetničkoj komori o namjeri obavljanja radnji (osim kod radnji zastupanja) u Hrvatskoj za odvjetnika iz države članice Europske unije koji nije upisan u Imenik stranih odvjetnika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4217BCC8" w14:textId="1FACF0FC" w:rsidR="001218F6" w:rsidRPr="00BF052F" w:rsidRDefault="001218F6" w:rsidP="00F936A3">
            <w:r w:rsidRPr="00BF052F">
              <w:t>Ministarstvo pravosuđa i uprave (u suradnji s Hrvatskom odvjetničkom komorom)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23B20F70" w14:textId="71994253" w:rsidR="001218F6" w:rsidRPr="00BF052F" w:rsidRDefault="001218F6" w:rsidP="00F936A3">
            <w:r w:rsidRPr="00BF052F">
              <w:t>IV. kvartal 2021.</w:t>
            </w:r>
          </w:p>
        </w:tc>
      </w:tr>
      <w:tr w:rsidR="001218F6" w:rsidRPr="00BF052F" w14:paraId="140CB6FB" w14:textId="77777777" w:rsidTr="00663D61">
        <w:trPr>
          <w:trHeight w:val="251"/>
        </w:trPr>
        <w:tc>
          <w:tcPr>
            <w:tcW w:w="278" w:type="pct"/>
            <w:shd w:val="clear" w:color="auto" w:fill="1F497D" w:themeFill="text2"/>
            <w:vAlign w:val="center"/>
          </w:tcPr>
          <w:p w14:paraId="5F94A328" w14:textId="77777777" w:rsidR="001218F6" w:rsidRPr="00BF052F" w:rsidRDefault="001218F6" w:rsidP="00CC3369">
            <w:pPr>
              <w:rPr>
                <w:b/>
                <w:color w:val="FFFFFF" w:themeColor="background1"/>
              </w:rPr>
            </w:pPr>
          </w:p>
        </w:tc>
        <w:tc>
          <w:tcPr>
            <w:tcW w:w="2850" w:type="pct"/>
            <w:shd w:val="clear" w:color="auto" w:fill="1F497D" w:themeFill="text2"/>
            <w:vAlign w:val="center"/>
          </w:tcPr>
          <w:p w14:paraId="64440C25" w14:textId="6CB0D3A4" w:rsidR="001218F6" w:rsidRPr="00BF052F" w:rsidRDefault="001218F6" w:rsidP="00F936A3">
            <w:pPr>
              <w:rPr>
                <w:b/>
                <w:color w:val="FFFFFF" w:themeColor="background1"/>
              </w:rPr>
            </w:pPr>
            <w:r w:rsidRPr="00BF052F">
              <w:rPr>
                <w:b/>
                <w:color w:val="FFFFFF" w:themeColor="background1"/>
              </w:rPr>
              <w:t>Javni bilježnici</w:t>
            </w:r>
          </w:p>
        </w:tc>
        <w:tc>
          <w:tcPr>
            <w:tcW w:w="1263" w:type="pct"/>
            <w:shd w:val="clear" w:color="auto" w:fill="1F497D" w:themeFill="text2"/>
            <w:vAlign w:val="center"/>
          </w:tcPr>
          <w:p w14:paraId="2192E6BF" w14:textId="77777777" w:rsidR="001218F6" w:rsidRPr="00BF052F" w:rsidRDefault="001218F6" w:rsidP="00F936A3">
            <w:pPr>
              <w:rPr>
                <w:b/>
                <w:color w:val="FFFFFF" w:themeColor="background1"/>
              </w:rPr>
            </w:pPr>
          </w:p>
        </w:tc>
        <w:tc>
          <w:tcPr>
            <w:tcW w:w="609" w:type="pct"/>
            <w:shd w:val="clear" w:color="auto" w:fill="1F497D" w:themeFill="text2"/>
            <w:vAlign w:val="center"/>
          </w:tcPr>
          <w:p w14:paraId="1BAAF82B" w14:textId="77777777" w:rsidR="001218F6" w:rsidRPr="00BF052F" w:rsidRDefault="001218F6" w:rsidP="00F936A3">
            <w:pPr>
              <w:rPr>
                <w:b/>
                <w:color w:val="FFFFFF" w:themeColor="background1"/>
              </w:rPr>
            </w:pPr>
          </w:p>
        </w:tc>
      </w:tr>
      <w:tr w:rsidR="001218F6" w:rsidRPr="00BF052F" w:rsidDel="004609F5" w14:paraId="6487A6F4" w14:textId="77777777" w:rsidTr="00663D61">
        <w:trPr>
          <w:trHeight w:val="622"/>
        </w:trPr>
        <w:tc>
          <w:tcPr>
            <w:tcW w:w="278" w:type="pct"/>
            <w:vAlign w:val="center"/>
          </w:tcPr>
          <w:p w14:paraId="23B144C9" w14:textId="77777777" w:rsidR="001218F6" w:rsidRPr="00BF052F" w:rsidRDefault="001218F6" w:rsidP="00CC3369">
            <w:pPr>
              <w:tabs>
                <w:tab w:val="left" w:pos="360"/>
              </w:tabs>
            </w:pPr>
          </w:p>
          <w:p w14:paraId="55814662" w14:textId="215DD94B" w:rsidR="001218F6" w:rsidRPr="00BF052F" w:rsidRDefault="001218F6" w:rsidP="00CC3369">
            <w:pPr>
              <w:tabs>
                <w:tab w:val="left" w:pos="360"/>
              </w:tabs>
            </w:pPr>
            <w:r w:rsidRPr="00BF052F">
              <w:t>5</w:t>
            </w:r>
          </w:p>
        </w:tc>
        <w:tc>
          <w:tcPr>
            <w:tcW w:w="2850" w:type="pct"/>
            <w:shd w:val="clear" w:color="auto" w:fill="auto"/>
            <w:vAlign w:val="center"/>
          </w:tcPr>
          <w:p w14:paraId="5AA7B8EF" w14:textId="63F3A8C0" w:rsidR="001218F6" w:rsidRPr="00BF052F" w:rsidRDefault="001218F6" w:rsidP="00F936A3">
            <w:r w:rsidRPr="00BF052F">
              <w:t>Skratiti vrijeme potrebnog radnog iskustva na pravnim poslovima nakon položenog pravosudnog ispita za stjecanje uvjeta za polaganje javnobilježničkog ispita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6F6E862F" w14:textId="0F7AB114" w:rsidR="001218F6" w:rsidRPr="00BF052F" w:rsidRDefault="001218F6" w:rsidP="00F936A3">
            <w:r w:rsidRPr="00BF052F">
              <w:t>Ministarstvo pravosuđa i uprave (u suradnji s</w:t>
            </w:r>
          </w:p>
          <w:p w14:paraId="7E1E9F59" w14:textId="3B828404" w:rsidR="001218F6" w:rsidRPr="00BF052F" w:rsidRDefault="001218F6" w:rsidP="00F936A3">
            <w:r w:rsidRPr="00BF052F">
              <w:t>Hrvatskom javnobilježničkom komorom)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77D41749" w14:textId="77777777" w:rsidR="001218F6" w:rsidRPr="00BF052F" w:rsidRDefault="001218F6" w:rsidP="00F936A3">
            <w:r w:rsidRPr="00BF052F">
              <w:t>IV. kvartal 2022.</w:t>
            </w:r>
          </w:p>
        </w:tc>
      </w:tr>
      <w:tr w:rsidR="001218F6" w:rsidRPr="00BF052F" w14:paraId="5BB5E903" w14:textId="77777777" w:rsidTr="00663D61">
        <w:trPr>
          <w:trHeight w:val="989"/>
        </w:trPr>
        <w:tc>
          <w:tcPr>
            <w:tcW w:w="278" w:type="pct"/>
            <w:vAlign w:val="center"/>
          </w:tcPr>
          <w:p w14:paraId="2B18FCC8" w14:textId="566FC81B" w:rsidR="001218F6" w:rsidRPr="00BF052F" w:rsidRDefault="001218F6" w:rsidP="00CC3369">
            <w:pPr>
              <w:tabs>
                <w:tab w:val="left" w:pos="360"/>
              </w:tabs>
            </w:pPr>
            <w:r w:rsidRPr="00BF052F">
              <w:lastRenderedPageBreak/>
              <w:t>6</w:t>
            </w:r>
          </w:p>
        </w:tc>
        <w:tc>
          <w:tcPr>
            <w:tcW w:w="2850" w:type="pct"/>
            <w:shd w:val="clear" w:color="auto" w:fill="auto"/>
            <w:vAlign w:val="center"/>
          </w:tcPr>
          <w:p w14:paraId="78A65C8B" w14:textId="7B4C5F96" w:rsidR="001218F6" w:rsidRPr="00BF052F" w:rsidRDefault="001218F6" w:rsidP="00F936A3">
            <w:r w:rsidRPr="00BF052F">
              <w:t>Odrediti kraće trajanje uvjeta radnog staža na pravnim poslovima nakon položenog pravosudnog ispita potrebnog za imenovanje javnih bilježnika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38657CA4" w14:textId="14693CA4" w:rsidR="001218F6" w:rsidRPr="00BF052F" w:rsidRDefault="001218F6" w:rsidP="00F936A3">
            <w:r w:rsidRPr="00BF052F">
              <w:t>Ministarstvo pravosuđa i uprave (u suradnji s</w:t>
            </w:r>
          </w:p>
          <w:p w14:paraId="2139432C" w14:textId="1887DAC7" w:rsidR="001218F6" w:rsidRPr="00BF052F" w:rsidRDefault="001218F6" w:rsidP="00F936A3">
            <w:r w:rsidRPr="00BF052F">
              <w:t>Hrvatskom javnobilježničkom komorom)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2CD2C06F" w14:textId="3AC815F4" w:rsidR="001218F6" w:rsidRPr="00BF052F" w:rsidRDefault="001218F6" w:rsidP="00F936A3">
            <w:r w:rsidRPr="00BF052F">
              <w:t>IV. kvartal 2022.</w:t>
            </w:r>
          </w:p>
        </w:tc>
      </w:tr>
      <w:tr w:rsidR="001218F6" w:rsidRPr="00BF052F" w14:paraId="5FECECF5" w14:textId="77777777" w:rsidTr="00663D61">
        <w:trPr>
          <w:trHeight w:val="251"/>
        </w:trPr>
        <w:tc>
          <w:tcPr>
            <w:tcW w:w="278" w:type="pct"/>
            <w:shd w:val="clear" w:color="auto" w:fill="1F497D" w:themeFill="text2"/>
            <w:vAlign w:val="center"/>
          </w:tcPr>
          <w:p w14:paraId="19C28D4E" w14:textId="77777777" w:rsidR="001218F6" w:rsidRPr="00BF052F" w:rsidRDefault="001218F6" w:rsidP="00CC3369">
            <w:pPr>
              <w:rPr>
                <w:b/>
                <w:color w:val="FFFFFF" w:themeColor="background1"/>
              </w:rPr>
            </w:pPr>
          </w:p>
        </w:tc>
        <w:tc>
          <w:tcPr>
            <w:tcW w:w="2850" w:type="pct"/>
            <w:shd w:val="clear" w:color="auto" w:fill="1F497D" w:themeFill="text2"/>
            <w:vAlign w:val="center"/>
          </w:tcPr>
          <w:p w14:paraId="57B3A3B4" w14:textId="1017714A" w:rsidR="001218F6" w:rsidRPr="00BF052F" w:rsidRDefault="001218F6" w:rsidP="00F936A3">
            <w:pPr>
              <w:rPr>
                <w:b/>
                <w:color w:val="FFFFFF" w:themeColor="background1"/>
              </w:rPr>
            </w:pPr>
            <w:r w:rsidRPr="00BF052F">
              <w:rPr>
                <w:b/>
                <w:color w:val="FFFFFF" w:themeColor="background1"/>
              </w:rPr>
              <w:t>Porezni savjetnici</w:t>
            </w:r>
          </w:p>
        </w:tc>
        <w:tc>
          <w:tcPr>
            <w:tcW w:w="1263" w:type="pct"/>
            <w:shd w:val="clear" w:color="auto" w:fill="1F497D" w:themeFill="text2"/>
            <w:vAlign w:val="center"/>
          </w:tcPr>
          <w:p w14:paraId="219C1D57" w14:textId="77777777" w:rsidR="001218F6" w:rsidRPr="00BF052F" w:rsidRDefault="001218F6" w:rsidP="00F936A3">
            <w:pPr>
              <w:rPr>
                <w:b/>
                <w:color w:val="FFFFFF" w:themeColor="background1"/>
              </w:rPr>
            </w:pPr>
          </w:p>
        </w:tc>
        <w:tc>
          <w:tcPr>
            <w:tcW w:w="609" w:type="pct"/>
            <w:shd w:val="clear" w:color="auto" w:fill="1F497D" w:themeFill="text2"/>
            <w:vAlign w:val="center"/>
          </w:tcPr>
          <w:p w14:paraId="7D1E4A20" w14:textId="77777777" w:rsidR="001218F6" w:rsidRPr="00BF052F" w:rsidRDefault="001218F6" w:rsidP="00F936A3">
            <w:pPr>
              <w:rPr>
                <w:b/>
                <w:color w:val="FFFFFF" w:themeColor="background1"/>
              </w:rPr>
            </w:pPr>
          </w:p>
        </w:tc>
      </w:tr>
      <w:tr w:rsidR="001218F6" w:rsidRPr="00BF052F" w14:paraId="7DD8A2F3" w14:textId="77777777" w:rsidTr="00663D61">
        <w:trPr>
          <w:trHeight w:val="555"/>
        </w:trPr>
        <w:tc>
          <w:tcPr>
            <w:tcW w:w="278" w:type="pct"/>
            <w:vAlign w:val="center"/>
          </w:tcPr>
          <w:p w14:paraId="3A4AC0AD" w14:textId="7DA21248" w:rsidR="001218F6" w:rsidRPr="00BF052F" w:rsidRDefault="001218F6" w:rsidP="00CC3369">
            <w:pPr>
              <w:tabs>
                <w:tab w:val="left" w:pos="360"/>
              </w:tabs>
            </w:pPr>
            <w:r w:rsidRPr="00BF052F">
              <w:t>7</w:t>
            </w:r>
          </w:p>
        </w:tc>
        <w:tc>
          <w:tcPr>
            <w:tcW w:w="2850" w:type="pct"/>
            <w:shd w:val="clear" w:color="auto" w:fill="auto"/>
            <w:vAlign w:val="center"/>
          </w:tcPr>
          <w:p w14:paraId="60CE8D34" w14:textId="294640D7" w:rsidR="001218F6" w:rsidRPr="00BF052F" w:rsidRDefault="001218F6" w:rsidP="00F936A3">
            <w:r w:rsidRPr="00BF052F">
              <w:t>Kvalificirane kandidate izuzeti iz obveze polaganja dijelova stručnog ispita za porezne savjetnike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364A585B" w14:textId="77777777" w:rsidR="001218F6" w:rsidRPr="00BF052F" w:rsidRDefault="001218F6" w:rsidP="00F936A3">
            <w:r w:rsidRPr="00BF052F">
              <w:t xml:space="preserve">Ministarstvo financija </w:t>
            </w:r>
          </w:p>
          <w:p w14:paraId="34FDAF43" w14:textId="242EE2A0" w:rsidR="001218F6" w:rsidRPr="00BF052F" w:rsidRDefault="001218F6" w:rsidP="00F936A3">
            <w:r w:rsidRPr="00BF052F">
              <w:t>(u suradnji s</w:t>
            </w:r>
          </w:p>
          <w:p w14:paraId="6F0BF45B" w14:textId="53B371DB" w:rsidR="001218F6" w:rsidRPr="00BF052F" w:rsidRDefault="001218F6" w:rsidP="00F936A3">
            <w:r w:rsidRPr="00BF052F">
              <w:t>Hrvatskom komorom poreznih savjetnika)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38AA398D" w14:textId="4BF4B008" w:rsidR="001218F6" w:rsidRPr="00BF052F" w:rsidRDefault="001218F6" w:rsidP="00F936A3">
            <w:r w:rsidRPr="00BF052F">
              <w:t>IV. kvartal 2021.</w:t>
            </w:r>
          </w:p>
        </w:tc>
      </w:tr>
      <w:tr w:rsidR="001218F6" w:rsidRPr="00BF052F" w14:paraId="4DDFC213" w14:textId="6912BE8D" w:rsidTr="00663D61">
        <w:trPr>
          <w:trHeight w:val="555"/>
        </w:trPr>
        <w:tc>
          <w:tcPr>
            <w:tcW w:w="278" w:type="pct"/>
            <w:vAlign w:val="center"/>
          </w:tcPr>
          <w:p w14:paraId="36C44DCB" w14:textId="7575A2BF" w:rsidR="001218F6" w:rsidRPr="00BF052F" w:rsidRDefault="001218F6" w:rsidP="00CC3369">
            <w:pPr>
              <w:tabs>
                <w:tab w:val="left" w:pos="360"/>
              </w:tabs>
            </w:pPr>
            <w:r w:rsidRPr="00BF052F">
              <w:t>8</w:t>
            </w:r>
          </w:p>
        </w:tc>
        <w:tc>
          <w:tcPr>
            <w:tcW w:w="2850" w:type="pct"/>
            <w:shd w:val="clear" w:color="auto" w:fill="auto"/>
            <w:vAlign w:val="center"/>
          </w:tcPr>
          <w:p w14:paraId="23E94003" w14:textId="54630F4E" w:rsidR="001218F6" w:rsidRPr="00BF052F" w:rsidRDefault="001218F6" w:rsidP="00F936A3">
            <w:r w:rsidRPr="00BF052F">
              <w:t>Dio stručnog ispita za porezne savjetnike koji se polaže samo usmeno urediti da se polaže u pisanom obliku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601604F0" w14:textId="77777777" w:rsidR="001218F6" w:rsidRPr="00BF052F" w:rsidRDefault="001218F6" w:rsidP="0098439D">
            <w:r w:rsidRPr="00BF052F">
              <w:t xml:space="preserve">Ministarstvo financija </w:t>
            </w:r>
          </w:p>
          <w:p w14:paraId="47C85237" w14:textId="77777777" w:rsidR="001218F6" w:rsidRPr="00BF052F" w:rsidRDefault="001218F6" w:rsidP="0098439D">
            <w:r w:rsidRPr="00BF052F">
              <w:t>(u suradnji s</w:t>
            </w:r>
          </w:p>
          <w:p w14:paraId="0C5A7309" w14:textId="6B06D873" w:rsidR="001218F6" w:rsidRPr="00BF052F" w:rsidRDefault="001218F6" w:rsidP="0098439D">
            <w:r w:rsidRPr="00BF052F">
              <w:t>Hrvatskom komorom poreznih savjetnika)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04FBE07D" w14:textId="2DFE2685" w:rsidR="001218F6" w:rsidRPr="00BF052F" w:rsidRDefault="001218F6" w:rsidP="00F936A3">
            <w:r w:rsidRPr="00BF052F">
              <w:t>IV. kvartal 2021.</w:t>
            </w:r>
          </w:p>
        </w:tc>
      </w:tr>
      <w:tr w:rsidR="001218F6" w:rsidRPr="00BF052F" w14:paraId="0BBB85D2" w14:textId="77777777" w:rsidTr="00663D61">
        <w:trPr>
          <w:trHeight w:val="692"/>
        </w:trPr>
        <w:tc>
          <w:tcPr>
            <w:tcW w:w="278" w:type="pct"/>
            <w:vAlign w:val="center"/>
          </w:tcPr>
          <w:p w14:paraId="409C947E" w14:textId="2418393A" w:rsidR="001218F6" w:rsidRPr="00BF052F" w:rsidRDefault="001218F6" w:rsidP="00522E11">
            <w:pPr>
              <w:tabs>
                <w:tab w:val="left" w:pos="360"/>
              </w:tabs>
            </w:pPr>
            <w:r w:rsidRPr="00BF052F">
              <w:t>9</w:t>
            </w:r>
          </w:p>
        </w:tc>
        <w:tc>
          <w:tcPr>
            <w:tcW w:w="2850" w:type="pct"/>
            <w:shd w:val="clear" w:color="auto" w:fill="auto"/>
            <w:vAlign w:val="center"/>
          </w:tcPr>
          <w:p w14:paraId="51F96C94" w14:textId="45919908" w:rsidR="001218F6" w:rsidRPr="00BF052F" w:rsidRDefault="001218F6" w:rsidP="00522E11">
            <w:r w:rsidRPr="00BF052F">
              <w:t>Odobriti pravo polaganja stručnog ispita za porezne savjetnike za kandidate sa završenim diplomskim odnosno magistarskim studijem i s tri godine relevantnog radnog</w:t>
            </w:r>
            <w:r>
              <w:t>a</w:t>
            </w:r>
            <w:r w:rsidRPr="00BF052F">
              <w:t xml:space="preserve"> iskustva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433697EA" w14:textId="3A14A806" w:rsidR="001218F6" w:rsidRPr="00BF052F" w:rsidRDefault="001218F6" w:rsidP="00522E11">
            <w:r w:rsidRPr="00BF052F">
              <w:t>Ministarstvo financija</w:t>
            </w:r>
          </w:p>
        </w:tc>
        <w:tc>
          <w:tcPr>
            <w:tcW w:w="609" w:type="pct"/>
            <w:vAlign w:val="center"/>
          </w:tcPr>
          <w:p w14:paraId="206ECE2B" w14:textId="77777777" w:rsidR="001218F6" w:rsidRPr="00BF052F" w:rsidRDefault="001218F6" w:rsidP="00522E11">
            <w:r w:rsidRPr="00BF052F">
              <w:t>IV. kvartal 2023.</w:t>
            </w:r>
          </w:p>
        </w:tc>
      </w:tr>
      <w:tr w:rsidR="001218F6" w:rsidRPr="00BF052F" w14:paraId="1C11CC4D" w14:textId="77777777" w:rsidTr="00663D61">
        <w:trPr>
          <w:trHeight w:val="611"/>
        </w:trPr>
        <w:tc>
          <w:tcPr>
            <w:tcW w:w="278" w:type="pct"/>
            <w:vAlign w:val="center"/>
          </w:tcPr>
          <w:p w14:paraId="7DCD68BF" w14:textId="0A92B38C" w:rsidR="001218F6" w:rsidRPr="00BF052F" w:rsidRDefault="001218F6" w:rsidP="003A0776">
            <w:pPr>
              <w:tabs>
                <w:tab w:val="left" w:pos="360"/>
              </w:tabs>
            </w:pPr>
            <w:r w:rsidRPr="00BF052F">
              <w:t>10</w:t>
            </w:r>
          </w:p>
        </w:tc>
        <w:tc>
          <w:tcPr>
            <w:tcW w:w="2850" w:type="pct"/>
            <w:shd w:val="clear" w:color="auto" w:fill="auto"/>
            <w:vAlign w:val="center"/>
          </w:tcPr>
          <w:p w14:paraId="4C3851DC" w14:textId="37326DD9" w:rsidR="001218F6" w:rsidRPr="00BF052F" w:rsidRDefault="001218F6" w:rsidP="00522E11">
            <w:r w:rsidRPr="00BF052F">
              <w:t>Odobriti pravo polaganja stručnog ispita za porezne savjetnike, za kandidate sa specijalističkim studijem i s pet godina relevantnog radnog iskustva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27A9431C" w14:textId="77777777" w:rsidR="001218F6" w:rsidRPr="00BF052F" w:rsidRDefault="001218F6" w:rsidP="00522E11">
            <w:r w:rsidRPr="00BF052F">
              <w:t>Ministarstvo financija</w:t>
            </w:r>
          </w:p>
        </w:tc>
        <w:tc>
          <w:tcPr>
            <w:tcW w:w="609" w:type="pct"/>
            <w:vAlign w:val="center"/>
          </w:tcPr>
          <w:p w14:paraId="23804903" w14:textId="77777777" w:rsidR="001218F6" w:rsidRPr="00BF052F" w:rsidRDefault="001218F6" w:rsidP="00522E11">
            <w:r w:rsidRPr="00BF052F">
              <w:t>IV. kvartal 2023.</w:t>
            </w:r>
          </w:p>
        </w:tc>
      </w:tr>
      <w:tr w:rsidR="001218F6" w:rsidRPr="00BF052F" w14:paraId="7268C889" w14:textId="77777777" w:rsidTr="00663D61">
        <w:trPr>
          <w:trHeight w:val="555"/>
        </w:trPr>
        <w:tc>
          <w:tcPr>
            <w:tcW w:w="278" w:type="pct"/>
            <w:vAlign w:val="center"/>
          </w:tcPr>
          <w:p w14:paraId="44E877A4" w14:textId="6BE34A41" w:rsidR="001218F6" w:rsidRPr="00BF052F" w:rsidRDefault="001218F6" w:rsidP="00522E11">
            <w:pPr>
              <w:tabs>
                <w:tab w:val="left" w:pos="360"/>
              </w:tabs>
            </w:pPr>
            <w:r w:rsidRPr="00BF052F">
              <w:t>11</w:t>
            </w:r>
          </w:p>
        </w:tc>
        <w:tc>
          <w:tcPr>
            <w:tcW w:w="2850" w:type="pct"/>
            <w:shd w:val="clear" w:color="auto" w:fill="auto"/>
            <w:vAlign w:val="center"/>
          </w:tcPr>
          <w:p w14:paraId="2542B156" w14:textId="72B4CC50" w:rsidR="001218F6" w:rsidRPr="00BF052F" w:rsidRDefault="001218F6" w:rsidP="00522E11">
            <w:r w:rsidRPr="00BF052F">
              <w:t>Definirati neovisan žalbeni postupak za kandidate koji pristupaju stručnom ispitu za porezne savjetnike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12404387" w14:textId="77777777" w:rsidR="001218F6" w:rsidRPr="00BF052F" w:rsidRDefault="001218F6" w:rsidP="00522E11">
            <w:r w:rsidRPr="00BF052F">
              <w:t xml:space="preserve">Ministarstvo financija </w:t>
            </w:r>
          </w:p>
          <w:p w14:paraId="0A99F328" w14:textId="472D96AD" w:rsidR="001218F6" w:rsidRPr="00BF052F" w:rsidRDefault="001218F6" w:rsidP="00522E11">
            <w:r w:rsidRPr="00BF052F">
              <w:t>(u suradnji s</w:t>
            </w:r>
          </w:p>
          <w:p w14:paraId="4F1200E0" w14:textId="1789EA05" w:rsidR="001218F6" w:rsidRPr="00BF052F" w:rsidRDefault="001218F6" w:rsidP="00522E11">
            <w:r w:rsidRPr="00BF052F">
              <w:t>Hrvatskom komorom poreznih savjetnika)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00B865D3" w14:textId="77777777" w:rsidR="001218F6" w:rsidRPr="00BF052F" w:rsidRDefault="001218F6" w:rsidP="00522E11">
            <w:r w:rsidRPr="00BF052F">
              <w:t>IV. kvartal 2021.</w:t>
            </w:r>
          </w:p>
        </w:tc>
      </w:tr>
      <w:tr w:rsidR="001218F6" w:rsidRPr="00BF052F" w14:paraId="1CF4A54F" w14:textId="77777777" w:rsidTr="00663D61">
        <w:trPr>
          <w:trHeight w:val="251"/>
        </w:trPr>
        <w:tc>
          <w:tcPr>
            <w:tcW w:w="278" w:type="pct"/>
            <w:shd w:val="clear" w:color="auto" w:fill="1F497D" w:themeFill="text2"/>
            <w:vAlign w:val="center"/>
          </w:tcPr>
          <w:p w14:paraId="40A8D39B" w14:textId="77777777" w:rsidR="001218F6" w:rsidRPr="00BF052F" w:rsidRDefault="001218F6" w:rsidP="00CC3369">
            <w:pPr>
              <w:rPr>
                <w:b/>
                <w:color w:val="FFFFFF" w:themeColor="background1"/>
              </w:rPr>
            </w:pPr>
          </w:p>
        </w:tc>
        <w:tc>
          <w:tcPr>
            <w:tcW w:w="2850" w:type="pct"/>
            <w:shd w:val="clear" w:color="auto" w:fill="1F497D" w:themeFill="text2"/>
            <w:vAlign w:val="center"/>
          </w:tcPr>
          <w:p w14:paraId="27CAB4B5" w14:textId="6117A322" w:rsidR="001218F6" w:rsidRPr="00BF052F" w:rsidRDefault="001218F6" w:rsidP="00F936A3">
            <w:pPr>
              <w:rPr>
                <w:b/>
                <w:color w:val="FFFFFF" w:themeColor="background1"/>
              </w:rPr>
            </w:pPr>
            <w:r w:rsidRPr="00BF052F">
              <w:rPr>
                <w:b/>
                <w:color w:val="FFFFFF" w:themeColor="background1"/>
              </w:rPr>
              <w:t>Revizori</w:t>
            </w:r>
          </w:p>
        </w:tc>
        <w:tc>
          <w:tcPr>
            <w:tcW w:w="1263" w:type="pct"/>
            <w:shd w:val="clear" w:color="auto" w:fill="1F497D" w:themeFill="text2"/>
            <w:vAlign w:val="center"/>
          </w:tcPr>
          <w:p w14:paraId="26833D9A" w14:textId="77777777" w:rsidR="001218F6" w:rsidRPr="00BF052F" w:rsidRDefault="001218F6" w:rsidP="00F936A3">
            <w:pPr>
              <w:rPr>
                <w:b/>
                <w:color w:val="FFFFFF" w:themeColor="background1"/>
              </w:rPr>
            </w:pPr>
          </w:p>
        </w:tc>
        <w:tc>
          <w:tcPr>
            <w:tcW w:w="609" w:type="pct"/>
            <w:shd w:val="clear" w:color="auto" w:fill="1F497D" w:themeFill="text2"/>
            <w:vAlign w:val="center"/>
          </w:tcPr>
          <w:p w14:paraId="13DEF91E" w14:textId="77777777" w:rsidR="001218F6" w:rsidRPr="00BF052F" w:rsidRDefault="001218F6" w:rsidP="00F936A3">
            <w:pPr>
              <w:rPr>
                <w:b/>
                <w:color w:val="FFFFFF" w:themeColor="background1"/>
              </w:rPr>
            </w:pPr>
          </w:p>
        </w:tc>
      </w:tr>
      <w:tr w:rsidR="001218F6" w:rsidRPr="00BF052F" w14:paraId="18C2918D" w14:textId="77777777" w:rsidTr="00663D61">
        <w:trPr>
          <w:trHeight w:val="922"/>
        </w:trPr>
        <w:tc>
          <w:tcPr>
            <w:tcW w:w="278" w:type="pct"/>
            <w:vAlign w:val="center"/>
          </w:tcPr>
          <w:p w14:paraId="50075007" w14:textId="423CBA83" w:rsidR="001218F6" w:rsidRPr="00BF052F" w:rsidRDefault="001218F6" w:rsidP="00FD4E12">
            <w:pPr>
              <w:tabs>
                <w:tab w:val="left" w:pos="360"/>
              </w:tabs>
            </w:pPr>
            <w:r w:rsidRPr="00BF052F">
              <w:t>12</w:t>
            </w:r>
          </w:p>
        </w:tc>
        <w:tc>
          <w:tcPr>
            <w:tcW w:w="2850" w:type="pct"/>
            <w:shd w:val="clear" w:color="auto" w:fill="auto"/>
            <w:vAlign w:val="center"/>
          </w:tcPr>
          <w:p w14:paraId="4395F363" w14:textId="04330F4B" w:rsidR="001218F6" w:rsidRPr="00BF052F" w:rsidRDefault="001218F6" w:rsidP="00522E11">
            <w:r w:rsidRPr="00BF052F">
              <w:t xml:space="preserve">Kandidatima sa zvanjem </w:t>
            </w:r>
            <w:proofErr w:type="spellStart"/>
            <w:r w:rsidRPr="00BF052F">
              <w:t>prvostupnika</w:t>
            </w:r>
            <w:proofErr w:type="spellEnd"/>
            <w:r w:rsidRPr="00BF052F">
              <w:t xml:space="preserve"> i kandidatima s najmanje pet godina iskustva u obavljanju revizije dopustiti polaganje revizorskog ispita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6AA6E472" w14:textId="2772D142" w:rsidR="001218F6" w:rsidRPr="00BF052F" w:rsidRDefault="001218F6" w:rsidP="00522E11">
            <w:r w:rsidRPr="00BF052F">
              <w:t>Ministarstvo financija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1F96CE32" w14:textId="77777777" w:rsidR="001218F6" w:rsidRPr="00BF052F" w:rsidRDefault="001218F6" w:rsidP="00522E11">
            <w:r w:rsidRPr="00BF052F">
              <w:t>IV. kvartal 2022.</w:t>
            </w:r>
          </w:p>
        </w:tc>
      </w:tr>
      <w:tr w:rsidR="001218F6" w:rsidRPr="00BF052F" w14:paraId="14DE8EBF" w14:textId="5F950B9C" w:rsidTr="00663D61">
        <w:trPr>
          <w:trHeight w:val="922"/>
        </w:trPr>
        <w:tc>
          <w:tcPr>
            <w:tcW w:w="278" w:type="pct"/>
            <w:vAlign w:val="center"/>
          </w:tcPr>
          <w:p w14:paraId="618E083D" w14:textId="5B1A6B4E" w:rsidR="001218F6" w:rsidRPr="00BF052F" w:rsidRDefault="001218F6" w:rsidP="00FD4E12">
            <w:pPr>
              <w:tabs>
                <w:tab w:val="left" w:pos="360"/>
              </w:tabs>
            </w:pPr>
            <w:r w:rsidRPr="00BF052F">
              <w:t>13</w:t>
            </w:r>
          </w:p>
        </w:tc>
        <w:tc>
          <w:tcPr>
            <w:tcW w:w="2850" w:type="pct"/>
            <w:shd w:val="clear" w:color="auto" w:fill="auto"/>
            <w:vAlign w:val="center"/>
          </w:tcPr>
          <w:p w14:paraId="20DEFF8D" w14:textId="6DC97FD1" w:rsidR="001218F6" w:rsidRPr="00BF052F" w:rsidRDefault="001218F6" w:rsidP="00F936A3">
            <w:r w:rsidRPr="00BF052F">
              <w:t>Priznati relevantne ispite i kvalifikacije (kao što su stručne kvalifikacije stečene u Republici Hrvatskoj ili na međunarodnoj razini) u pogledu izuzimanja iz djela polaganja revizorskog ispita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25FE9393" w14:textId="3ECD45C4" w:rsidR="001218F6" w:rsidRPr="00BF052F" w:rsidRDefault="001218F6" w:rsidP="00F936A3">
            <w:r w:rsidRPr="00BF052F">
              <w:t>Ministarstvo financija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32702F97" w14:textId="77777777" w:rsidR="001218F6" w:rsidRPr="00BF052F" w:rsidRDefault="001218F6" w:rsidP="00F936A3">
            <w:r w:rsidRPr="00BF052F">
              <w:t>IV. kvartal 2022.</w:t>
            </w:r>
          </w:p>
        </w:tc>
      </w:tr>
      <w:tr w:rsidR="001218F6" w:rsidRPr="00BF052F" w14:paraId="7C7BC1B6" w14:textId="26C731B0" w:rsidTr="00663D61">
        <w:trPr>
          <w:trHeight w:val="922"/>
        </w:trPr>
        <w:tc>
          <w:tcPr>
            <w:tcW w:w="278" w:type="pct"/>
            <w:vAlign w:val="center"/>
          </w:tcPr>
          <w:p w14:paraId="515B7C42" w14:textId="15FC57C3" w:rsidR="001218F6" w:rsidRPr="00BF052F" w:rsidRDefault="001218F6" w:rsidP="00FD4E12">
            <w:pPr>
              <w:tabs>
                <w:tab w:val="left" w:pos="360"/>
              </w:tabs>
            </w:pPr>
            <w:r w:rsidRPr="00BF052F">
              <w:t>14</w:t>
            </w:r>
          </w:p>
        </w:tc>
        <w:tc>
          <w:tcPr>
            <w:tcW w:w="2850" w:type="pct"/>
            <w:shd w:val="clear" w:color="auto" w:fill="auto"/>
            <w:vAlign w:val="center"/>
          </w:tcPr>
          <w:p w14:paraId="3DBAE05F" w14:textId="34371CF9" w:rsidR="001218F6" w:rsidRPr="00BF052F" w:rsidRDefault="001218F6" w:rsidP="00F936A3">
            <w:r w:rsidRPr="00BF052F">
              <w:t>Ukinuti obvezu pohađanja stručnog osposobljavanja za polaganje revizorskog ispita za kandidate koji ispunjavaju propisane razine formalnog obrazovanja (pohađanje stručnog osposobljavanja prema osobnoj odluci kandidata)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453E61AC" w14:textId="35CAB114" w:rsidR="001218F6" w:rsidRPr="00BF052F" w:rsidRDefault="001218F6" w:rsidP="00F936A3">
            <w:r w:rsidRPr="00BF052F">
              <w:t>Ministarstvo financija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0535D011" w14:textId="0B594832" w:rsidR="001218F6" w:rsidRPr="00BF052F" w:rsidRDefault="001218F6" w:rsidP="00F936A3">
            <w:r w:rsidRPr="00BF052F">
              <w:t>IV. kvartal 2022.</w:t>
            </w:r>
          </w:p>
        </w:tc>
      </w:tr>
      <w:tr w:rsidR="001218F6" w:rsidRPr="00BF052F" w14:paraId="42A6D1F9" w14:textId="77777777" w:rsidTr="00663D61">
        <w:trPr>
          <w:trHeight w:val="922"/>
        </w:trPr>
        <w:tc>
          <w:tcPr>
            <w:tcW w:w="278" w:type="pct"/>
            <w:vAlign w:val="center"/>
          </w:tcPr>
          <w:p w14:paraId="0537FDE1" w14:textId="0723EF97" w:rsidR="001218F6" w:rsidRPr="00BF052F" w:rsidRDefault="001218F6" w:rsidP="00FD4E12">
            <w:pPr>
              <w:tabs>
                <w:tab w:val="left" w:pos="360"/>
              </w:tabs>
            </w:pPr>
            <w:r w:rsidRPr="00BF052F">
              <w:t>15</w:t>
            </w:r>
          </w:p>
        </w:tc>
        <w:tc>
          <w:tcPr>
            <w:tcW w:w="2850" w:type="pct"/>
            <w:shd w:val="clear" w:color="auto" w:fill="auto"/>
            <w:vAlign w:val="center"/>
          </w:tcPr>
          <w:p w14:paraId="501363E0" w14:textId="2829329D" w:rsidR="001218F6" w:rsidRPr="00BF052F" w:rsidRDefault="001218F6" w:rsidP="00AC1269">
            <w:r w:rsidRPr="00BF052F">
              <w:t>Sniziti doprinose za članove Hrvatske revizorske komore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12EB58A0" w14:textId="77777777" w:rsidR="001218F6" w:rsidRPr="00BF052F" w:rsidRDefault="001218F6" w:rsidP="00AC1269">
            <w:r w:rsidRPr="00BF052F">
              <w:t xml:space="preserve">Ministarstvo financija </w:t>
            </w:r>
          </w:p>
          <w:p w14:paraId="69B3BA34" w14:textId="77777777" w:rsidR="001218F6" w:rsidRPr="00BF052F" w:rsidRDefault="001218F6" w:rsidP="00AC1269">
            <w:r w:rsidRPr="00BF052F">
              <w:t>(u suradnji s Hrvatskom revizorskom komorom)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2EFB530E" w14:textId="77777777" w:rsidR="001218F6" w:rsidRPr="00BF052F" w:rsidRDefault="001218F6" w:rsidP="00AC1269">
            <w:r w:rsidRPr="00BF052F">
              <w:t>IV. kvartal 2021.</w:t>
            </w:r>
          </w:p>
        </w:tc>
      </w:tr>
      <w:tr w:rsidR="001218F6" w:rsidRPr="00BF052F" w14:paraId="467EBDED" w14:textId="77777777" w:rsidTr="00663D61">
        <w:trPr>
          <w:trHeight w:val="922"/>
        </w:trPr>
        <w:tc>
          <w:tcPr>
            <w:tcW w:w="278" w:type="pct"/>
            <w:vAlign w:val="center"/>
          </w:tcPr>
          <w:p w14:paraId="159D2D20" w14:textId="312D0311" w:rsidR="001218F6" w:rsidRPr="00BF052F" w:rsidRDefault="001218F6" w:rsidP="00FD4E12">
            <w:pPr>
              <w:tabs>
                <w:tab w:val="left" w:pos="360"/>
              </w:tabs>
            </w:pPr>
            <w:r w:rsidRPr="00BF052F">
              <w:lastRenderedPageBreak/>
              <w:t>16</w:t>
            </w:r>
          </w:p>
        </w:tc>
        <w:tc>
          <w:tcPr>
            <w:tcW w:w="2850" w:type="pct"/>
            <w:shd w:val="clear" w:color="auto" w:fill="auto"/>
            <w:vAlign w:val="center"/>
          </w:tcPr>
          <w:p w14:paraId="49D8D34E" w14:textId="6EA77ED9" w:rsidR="001218F6" w:rsidRPr="00BF052F" w:rsidRDefault="001218F6" w:rsidP="00AC1269">
            <w:r w:rsidRPr="00BF052F">
              <w:t>Sniziti trošak osposobljavanja za revizore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1E2F3765" w14:textId="77777777" w:rsidR="001218F6" w:rsidRPr="00BF052F" w:rsidRDefault="001218F6" w:rsidP="00AC1269">
            <w:r w:rsidRPr="00BF052F">
              <w:t xml:space="preserve">Ministarstvo financija </w:t>
            </w:r>
          </w:p>
          <w:p w14:paraId="146CF24A" w14:textId="77777777" w:rsidR="001218F6" w:rsidRPr="00BF052F" w:rsidRDefault="001218F6" w:rsidP="00AC1269">
            <w:r w:rsidRPr="00BF052F">
              <w:t>(u suradnji s Hrvatskom revizorskom komorom)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3297B722" w14:textId="77777777" w:rsidR="001218F6" w:rsidRPr="00BF052F" w:rsidRDefault="001218F6" w:rsidP="00AC1269">
            <w:r w:rsidRPr="00BF052F">
              <w:t>IV. kvartal 2021.</w:t>
            </w:r>
          </w:p>
        </w:tc>
      </w:tr>
      <w:tr w:rsidR="001218F6" w:rsidRPr="00BF052F" w14:paraId="688BAF7A" w14:textId="77777777" w:rsidTr="00663D61">
        <w:trPr>
          <w:trHeight w:val="251"/>
        </w:trPr>
        <w:tc>
          <w:tcPr>
            <w:tcW w:w="278" w:type="pct"/>
            <w:shd w:val="clear" w:color="auto" w:fill="1F497D" w:themeFill="text2"/>
            <w:vAlign w:val="center"/>
          </w:tcPr>
          <w:p w14:paraId="24616BF2" w14:textId="77777777" w:rsidR="001218F6" w:rsidRPr="00BF052F" w:rsidRDefault="001218F6" w:rsidP="00CC3369">
            <w:pPr>
              <w:rPr>
                <w:b/>
                <w:color w:val="FFFFFF" w:themeColor="background1"/>
              </w:rPr>
            </w:pPr>
          </w:p>
        </w:tc>
        <w:tc>
          <w:tcPr>
            <w:tcW w:w="2850" w:type="pct"/>
            <w:shd w:val="clear" w:color="auto" w:fill="1F497D" w:themeFill="text2"/>
            <w:vAlign w:val="center"/>
          </w:tcPr>
          <w:p w14:paraId="4876FB1B" w14:textId="1781663B" w:rsidR="001218F6" w:rsidRPr="00BF052F" w:rsidRDefault="001218F6" w:rsidP="00F936A3">
            <w:pPr>
              <w:rPr>
                <w:b/>
                <w:color w:val="FFFFFF" w:themeColor="background1"/>
              </w:rPr>
            </w:pPr>
            <w:r w:rsidRPr="00BF052F">
              <w:rPr>
                <w:b/>
                <w:color w:val="FFFFFF" w:themeColor="background1"/>
              </w:rPr>
              <w:t>Geodeti</w:t>
            </w:r>
          </w:p>
        </w:tc>
        <w:tc>
          <w:tcPr>
            <w:tcW w:w="1263" w:type="pct"/>
            <w:shd w:val="clear" w:color="auto" w:fill="1F497D" w:themeFill="text2"/>
            <w:vAlign w:val="center"/>
          </w:tcPr>
          <w:p w14:paraId="178C0CA2" w14:textId="77777777" w:rsidR="001218F6" w:rsidRPr="00BF052F" w:rsidRDefault="001218F6" w:rsidP="00F936A3">
            <w:pPr>
              <w:rPr>
                <w:b/>
                <w:color w:val="FFFFFF" w:themeColor="background1"/>
              </w:rPr>
            </w:pPr>
          </w:p>
        </w:tc>
        <w:tc>
          <w:tcPr>
            <w:tcW w:w="609" w:type="pct"/>
            <w:shd w:val="clear" w:color="auto" w:fill="1F497D" w:themeFill="text2"/>
            <w:vAlign w:val="center"/>
          </w:tcPr>
          <w:p w14:paraId="72CD63D0" w14:textId="77777777" w:rsidR="001218F6" w:rsidRPr="00BF052F" w:rsidRDefault="001218F6" w:rsidP="00F936A3">
            <w:pPr>
              <w:rPr>
                <w:b/>
                <w:color w:val="FFFFFF" w:themeColor="background1"/>
              </w:rPr>
            </w:pPr>
          </w:p>
        </w:tc>
      </w:tr>
      <w:tr w:rsidR="001218F6" w:rsidRPr="00BF052F" w14:paraId="598797B1" w14:textId="77777777" w:rsidTr="00663D61">
        <w:trPr>
          <w:trHeight w:val="1151"/>
        </w:trPr>
        <w:tc>
          <w:tcPr>
            <w:tcW w:w="278" w:type="pct"/>
            <w:vAlign w:val="center"/>
          </w:tcPr>
          <w:p w14:paraId="78183E48" w14:textId="013BE8D4" w:rsidR="001218F6" w:rsidRPr="00BF052F" w:rsidRDefault="001218F6" w:rsidP="00CC3369">
            <w:pPr>
              <w:tabs>
                <w:tab w:val="left" w:pos="360"/>
              </w:tabs>
            </w:pPr>
            <w:r w:rsidRPr="00BF052F">
              <w:t>17</w:t>
            </w:r>
          </w:p>
        </w:tc>
        <w:tc>
          <w:tcPr>
            <w:tcW w:w="2850" w:type="pct"/>
            <w:shd w:val="clear" w:color="auto" w:fill="auto"/>
            <w:vAlign w:val="center"/>
          </w:tcPr>
          <w:p w14:paraId="551A59A6" w14:textId="30B257C9" w:rsidR="001218F6" w:rsidRPr="00BF052F" w:rsidRDefault="001218F6" w:rsidP="00F936A3">
            <w:pPr>
              <w:contextualSpacing/>
            </w:pPr>
            <w:r w:rsidRPr="00BF052F">
              <w:t>Ukinuti obvezatnost smjernica Hrvatske komore ovlaštenih inženjera geodezije u pogledu vremenskog opsega potrebnog za obavljanje pojedinog geodetskog posla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55BB60F4" w14:textId="77777777" w:rsidR="001218F6" w:rsidRPr="00BF052F" w:rsidRDefault="001218F6" w:rsidP="00F936A3">
            <w:r w:rsidRPr="00BF052F">
              <w:t xml:space="preserve">Državna geodetska uprava </w:t>
            </w:r>
          </w:p>
          <w:p w14:paraId="6EEE1B21" w14:textId="011530C0" w:rsidR="001218F6" w:rsidRPr="00BF052F" w:rsidRDefault="001218F6" w:rsidP="00F936A3">
            <w:r w:rsidRPr="00BF052F">
              <w:t>(u suradnji s</w:t>
            </w:r>
          </w:p>
          <w:p w14:paraId="3F93BB6C" w14:textId="0D70B23B" w:rsidR="001218F6" w:rsidRPr="00BF052F" w:rsidRDefault="001218F6" w:rsidP="00F936A3">
            <w:r w:rsidRPr="00BF052F">
              <w:t>Hrvatskom komorom ovlaštenih inženjera geodezije)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2189F095" w14:textId="1D1D581B" w:rsidR="001218F6" w:rsidRPr="00BF052F" w:rsidRDefault="001218F6" w:rsidP="00F936A3">
            <w:r w:rsidRPr="00BF052F">
              <w:t>II. kvartal 2021.</w:t>
            </w:r>
          </w:p>
        </w:tc>
      </w:tr>
      <w:tr w:rsidR="001218F6" w:rsidRPr="00BF052F" w14:paraId="507EE47B" w14:textId="77777777" w:rsidTr="00663D61">
        <w:trPr>
          <w:trHeight w:val="251"/>
        </w:trPr>
        <w:tc>
          <w:tcPr>
            <w:tcW w:w="278" w:type="pct"/>
            <w:shd w:val="clear" w:color="auto" w:fill="1F497D" w:themeFill="text2"/>
            <w:vAlign w:val="center"/>
          </w:tcPr>
          <w:p w14:paraId="56B09DDD" w14:textId="77777777" w:rsidR="001218F6" w:rsidRPr="00BF052F" w:rsidRDefault="001218F6" w:rsidP="00CC3369">
            <w:pPr>
              <w:rPr>
                <w:b/>
                <w:color w:val="FFFFFF" w:themeColor="background1"/>
              </w:rPr>
            </w:pPr>
          </w:p>
        </w:tc>
        <w:tc>
          <w:tcPr>
            <w:tcW w:w="2850" w:type="pct"/>
            <w:shd w:val="clear" w:color="auto" w:fill="1F497D" w:themeFill="text2"/>
            <w:vAlign w:val="center"/>
          </w:tcPr>
          <w:p w14:paraId="50A51C79" w14:textId="31767341" w:rsidR="001218F6" w:rsidRPr="00BF052F" w:rsidRDefault="001218F6" w:rsidP="00F936A3">
            <w:pPr>
              <w:rPr>
                <w:b/>
                <w:color w:val="FFFFFF" w:themeColor="background1"/>
              </w:rPr>
            </w:pPr>
            <w:r w:rsidRPr="00BF052F">
              <w:rPr>
                <w:b/>
                <w:color w:val="FFFFFF" w:themeColor="background1"/>
              </w:rPr>
              <w:t>Peljari</w:t>
            </w:r>
          </w:p>
        </w:tc>
        <w:tc>
          <w:tcPr>
            <w:tcW w:w="1263" w:type="pct"/>
            <w:shd w:val="clear" w:color="auto" w:fill="1F497D" w:themeFill="text2"/>
            <w:vAlign w:val="center"/>
          </w:tcPr>
          <w:p w14:paraId="69422B17" w14:textId="77777777" w:rsidR="001218F6" w:rsidRPr="00BF052F" w:rsidRDefault="001218F6" w:rsidP="00F936A3">
            <w:pPr>
              <w:rPr>
                <w:b/>
                <w:color w:val="FFFFFF" w:themeColor="background1"/>
              </w:rPr>
            </w:pPr>
          </w:p>
        </w:tc>
        <w:tc>
          <w:tcPr>
            <w:tcW w:w="609" w:type="pct"/>
            <w:shd w:val="clear" w:color="auto" w:fill="1F497D" w:themeFill="text2"/>
            <w:vAlign w:val="center"/>
          </w:tcPr>
          <w:p w14:paraId="2A7C0918" w14:textId="77777777" w:rsidR="001218F6" w:rsidRPr="00BF052F" w:rsidRDefault="001218F6" w:rsidP="00F936A3">
            <w:pPr>
              <w:rPr>
                <w:b/>
                <w:color w:val="FFFFFF" w:themeColor="background1"/>
              </w:rPr>
            </w:pPr>
          </w:p>
        </w:tc>
      </w:tr>
      <w:tr w:rsidR="001218F6" w:rsidRPr="00BF052F" w14:paraId="1A89C86F" w14:textId="77777777" w:rsidTr="00663D61">
        <w:trPr>
          <w:trHeight w:val="555"/>
        </w:trPr>
        <w:tc>
          <w:tcPr>
            <w:tcW w:w="278" w:type="pct"/>
            <w:vAlign w:val="center"/>
          </w:tcPr>
          <w:p w14:paraId="790033E1" w14:textId="4399F1B3" w:rsidR="001218F6" w:rsidRPr="00BF052F" w:rsidRDefault="001218F6" w:rsidP="00CC3369">
            <w:pPr>
              <w:tabs>
                <w:tab w:val="left" w:pos="360"/>
              </w:tabs>
            </w:pPr>
            <w:r w:rsidRPr="00BF052F">
              <w:t>18</w:t>
            </w:r>
          </w:p>
        </w:tc>
        <w:tc>
          <w:tcPr>
            <w:tcW w:w="2850" w:type="pct"/>
            <w:shd w:val="clear" w:color="auto" w:fill="auto"/>
            <w:vAlign w:val="center"/>
          </w:tcPr>
          <w:p w14:paraId="17D3295D" w14:textId="59554111" w:rsidR="001218F6" w:rsidRPr="00BF052F" w:rsidRDefault="001218F6" w:rsidP="00F936A3">
            <w:pPr>
              <w:contextualSpacing/>
            </w:pPr>
            <w:r w:rsidRPr="00BF052F">
              <w:t xml:space="preserve">Proširiti primjenu svjedodžbe o izuzeću od obveznog </w:t>
            </w:r>
            <w:proofErr w:type="spellStart"/>
            <w:r w:rsidRPr="00BF052F">
              <w:t>peljarenja</w:t>
            </w:r>
            <w:proofErr w:type="spellEnd"/>
          </w:p>
        </w:tc>
        <w:tc>
          <w:tcPr>
            <w:tcW w:w="1263" w:type="pct"/>
            <w:shd w:val="clear" w:color="auto" w:fill="auto"/>
            <w:vAlign w:val="center"/>
          </w:tcPr>
          <w:p w14:paraId="1AE69A8C" w14:textId="0BF6C6A9" w:rsidR="001218F6" w:rsidRPr="00BF052F" w:rsidRDefault="001218F6" w:rsidP="00F936A3">
            <w:r w:rsidRPr="00BF052F">
              <w:t>Ministarstvo mora, prometa i infrastrukture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1BC3A475" w14:textId="7A18E5A5" w:rsidR="001218F6" w:rsidRPr="00BF052F" w:rsidRDefault="001218F6" w:rsidP="00F936A3">
            <w:r w:rsidRPr="00BF052F">
              <w:t>I</w:t>
            </w:r>
            <w:r>
              <w:t>I</w:t>
            </w:r>
            <w:r w:rsidRPr="00BF052F">
              <w:t>. kvartal 2021.</w:t>
            </w:r>
          </w:p>
        </w:tc>
      </w:tr>
    </w:tbl>
    <w:p w14:paraId="69CAE2AA" w14:textId="77777777" w:rsidR="00950EB5" w:rsidRPr="00BF052F" w:rsidRDefault="00950EB5" w:rsidP="00CC3369"/>
    <w:sectPr w:rsidR="00950EB5" w:rsidRPr="00BF052F" w:rsidSect="00663D61">
      <w:footerReference w:type="default" r:id="rId15"/>
      <w:pgSz w:w="11906" w:h="16838"/>
      <w:pgMar w:top="794" w:right="1134" w:bottom="794" w:left="1134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5EF99" w14:textId="77777777" w:rsidR="00B26EDD" w:rsidRDefault="00B26EDD" w:rsidP="0011560A">
      <w:r>
        <w:separator/>
      </w:r>
    </w:p>
  </w:endnote>
  <w:endnote w:type="continuationSeparator" w:id="0">
    <w:p w14:paraId="5D097ECE" w14:textId="77777777" w:rsidR="00B26EDD" w:rsidRDefault="00B26EDD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skervill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55330" w14:textId="21B9FF76" w:rsidR="00AF69E5" w:rsidRPr="00CE78D1" w:rsidRDefault="00AF69E5" w:rsidP="00241122">
    <w:pPr>
      <w:pStyle w:val="Footer"/>
      <w:tabs>
        <w:tab w:val="center" w:pos="4819"/>
        <w:tab w:val="left" w:pos="6486"/>
      </w:tabs>
      <w:rPr>
        <w:color w:val="404040" w:themeColor="text1" w:themeTint="BF"/>
        <w:spacing w:val="20"/>
        <w:sz w:val="20"/>
      </w:rPr>
    </w:pPr>
    <w:r>
      <w:tab/>
    </w:r>
    <w:r>
      <w:tab/>
    </w:r>
    <w:sdt>
      <w:sdtPr>
        <w:id w:val="-40515640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5064">
          <w:rPr>
            <w:noProof/>
          </w:rPr>
          <w:t>4</w:t>
        </w:r>
        <w:r>
          <w:rPr>
            <w:noProof/>
          </w:rPr>
          <w:fldChar w:fldCharType="end"/>
        </w:r>
      </w:sdtContent>
    </w:sdt>
    <w:r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9AC45" w14:textId="77777777" w:rsidR="00B26EDD" w:rsidRDefault="00B26EDD" w:rsidP="0011560A">
      <w:r>
        <w:separator/>
      </w:r>
    </w:p>
  </w:footnote>
  <w:footnote w:type="continuationSeparator" w:id="0">
    <w:p w14:paraId="0DF4058B" w14:textId="77777777" w:rsidR="00B26EDD" w:rsidRDefault="00B26EDD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A55D6"/>
    <w:multiLevelType w:val="hybridMultilevel"/>
    <w:tmpl w:val="A8A09DE2"/>
    <w:lvl w:ilvl="0" w:tplc="F614F7D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546B9"/>
    <w:multiLevelType w:val="hybridMultilevel"/>
    <w:tmpl w:val="C1486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445AA"/>
    <w:multiLevelType w:val="hybridMultilevel"/>
    <w:tmpl w:val="9B00D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A2C2C"/>
    <w:multiLevelType w:val="hybridMultilevel"/>
    <w:tmpl w:val="7CB4707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D034BC"/>
    <w:multiLevelType w:val="hybridMultilevel"/>
    <w:tmpl w:val="B84A64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E06235"/>
    <w:multiLevelType w:val="hybridMultilevel"/>
    <w:tmpl w:val="C4A0E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CE66A0"/>
    <w:multiLevelType w:val="hybridMultilevel"/>
    <w:tmpl w:val="7F5C50DC"/>
    <w:lvl w:ilvl="0" w:tplc="6D96AD22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0219"/>
    <w:rsid w:val="00012258"/>
    <w:rsid w:val="000136FC"/>
    <w:rsid w:val="00016131"/>
    <w:rsid w:val="00017FBF"/>
    <w:rsid w:val="00025E8C"/>
    <w:rsid w:val="000350D9"/>
    <w:rsid w:val="000512D8"/>
    <w:rsid w:val="00056F3B"/>
    <w:rsid w:val="00057310"/>
    <w:rsid w:val="0006144B"/>
    <w:rsid w:val="00063520"/>
    <w:rsid w:val="0007115C"/>
    <w:rsid w:val="00085D77"/>
    <w:rsid w:val="00086A6C"/>
    <w:rsid w:val="00091779"/>
    <w:rsid w:val="00091C61"/>
    <w:rsid w:val="000A1D60"/>
    <w:rsid w:val="000A3A3B"/>
    <w:rsid w:val="000C1874"/>
    <w:rsid w:val="000C3A61"/>
    <w:rsid w:val="000D1A50"/>
    <w:rsid w:val="000D4F16"/>
    <w:rsid w:val="000F12F5"/>
    <w:rsid w:val="001015C6"/>
    <w:rsid w:val="00106623"/>
    <w:rsid w:val="00107CFB"/>
    <w:rsid w:val="00110E6C"/>
    <w:rsid w:val="00114BD3"/>
    <w:rsid w:val="0011560A"/>
    <w:rsid w:val="001218F6"/>
    <w:rsid w:val="00121971"/>
    <w:rsid w:val="00135F1A"/>
    <w:rsid w:val="00136F7F"/>
    <w:rsid w:val="00146B79"/>
    <w:rsid w:val="00147DE9"/>
    <w:rsid w:val="00157B9B"/>
    <w:rsid w:val="00157CC2"/>
    <w:rsid w:val="00161A63"/>
    <w:rsid w:val="00170226"/>
    <w:rsid w:val="001741AA"/>
    <w:rsid w:val="001809A3"/>
    <w:rsid w:val="001917B2"/>
    <w:rsid w:val="00191F64"/>
    <w:rsid w:val="001A13E7"/>
    <w:rsid w:val="001A55B0"/>
    <w:rsid w:val="001B292D"/>
    <w:rsid w:val="001B29BC"/>
    <w:rsid w:val="001B7A97"/>
    <w:rsid w:val="001E7218"/>
    <w:rsid w:val="001F202A"/>
    <w:rsid w:val="001F27A9"/>
    <w:rsid w:val="001F5381"/>
    <w:rsid w:val="001F7246"/>
    <w:rsid w:val="002179F8"/>
    <w:rsid w:val="00220956"/>
    <w:rsid w:val="00230482"/>
    <w:rsid w:val="0023763F"/>
    <w:rsid w:val="00241122"/>
    <w:rsid w:val="002451B2"/>
    <w:rsid w:val="00245264"/>
    <w:rsid w:val="00245B66"/>
    <w:rsid w:val="002532FD"/>
    <w:rsid w:val="00263D7A"/>
    <w:rsid w:val="00270745"/>
    <w:rsid w:val="00273EFC"/>
    <w:rsid w:val="002811E2"/>
    <w:rsid w:val="0028394E"/>
    <w:rsid w:val="002847A6"/>
    <w:rsid w:val="0028608D"/>
    <w:rsid w:val="0028776F"/>
    <w:rsid w:val="0029163B"/>
    <w:rsid w:val="002933B0"/>
    <w:rsid w:val="00294610"/>
    <w:rsid w:val="002A1D77"/>
    <w:rsid w:val="002B0B69"/>
    <w:rsid w:val="002B107A"/>
    <w:rsid w:val="002C45C8"/>
    <w:rsid w:val="002D1256"/>
    <w:rsid w:val="002D3B26"/>
    <w:rsid w:val="002D4581"/>
    <w:rsid w:val="002D6C51"/>
    <w:rsid w:val="002D7C91"/>
    <w:rsid w:val="002F29FD"/>
    <w:rsid w:val="002F7F48"/>
    <w:rsid w:val="003033E4"/>
    <w:rsid w:val="00304232"/>
    <w:rsid w:val="003164CA"/>
    <w:rsid w:val="00323C77"/>
    <w:rsid w:val="00327177"/>
    <w:rsid w:val="00333ECA"/>
    <w:rsid w:val="00336EE7"/>
    <w:rsid w:val="00337642"/>
    <w:rsid w:val="0034351C"/>
    <w:rsid w:val="00377E52"/>
    <w:rsid w:val="00381F04"/>
    <w:rsid w:val="00382567"/>
    <w:rsid w:val="0038426B"/>
    <w:rsid w:val="003929F5"/>
    <w:rsid w:val="00393541"/>
    <w:rsid w:val="003A0776"/>
    <w:rsid w:val="003A2F05"/>
    <w:rsid w:val="003C09D8"/>
    <w:rsid w:val="003C7B2D"/>
    <w:rsid w:val="003D47D1"/>
    <w:rsid w:val="003F5623"/>
    <w:rsid w:val="004002FA"/>
    <w:rsid w:val="004039BD"/>
    <w:rsid w:val="004122AE"/>
    <w:rsid w:val="00431F30"/>
    <w:rsid w:val="00440D6D"/>
    <w:rsid w:val="00442367"/>
    <w:rsid w:val="00442A6E"/>
    <w:rsid w:val="004508C2"/>
    <w:rsid w:val="00452C2C"/>
    <w:rsid w:val="004609F5"/>
    <w:rsid w:val="00461188"/>
    <w:rsid w:val="00471EAC"/>
    <w:rsid w:val="004A76B3"/>
    <w:rsid w:val="004A776B"/>
    <w:rsid w:val="004B55E6"/>
    <w:rsid w:val="004C1375"/>
    <w:rsid w:val="004C5354"/>
    <w:rsid w:val="004E1300"/>
    <w:rsid w:val="004E4E34"/>
    <w:rsid w:val="00504248"/>
    <w:rsid w:val="00505D7D"/>
    <w:rsid w:val="005146D6"/>
    <w:rsid w:val="00515259"/>
    <w:rsid w:val="005301C9"/>
    <w:rsid w:val="00535E09"/>
    <w:rsid w:val="00544937"/>
    <w:rsid w:val="005508C2"/>
    <w:rsid w:val="0056241A"/>
    <w:rsid w:val="00562C8C"/>
    <w:rsid w:val="0056365A"/>
    <w:rsid w:val="00571F6C"/>
    <w:rsid w:val="00580730"/>
    <w:rsid w:val="005861F2"/>
    <w:rsid w:val="005906BB"/>
    <w:rsid w:val="005907EA"/>
    <w:rsid w:val="005912B6"/>
    <w:rsid w:val="00593DC6"/>
    <w:rsid w:val="005A6ED3"/>
    <w:rsid w:val="005C3A4C"/>
    <w:rsid w:val="005D48DD"/>
    <w:rsid w:val="005D5309"/>
    <w:rsid w:val="005E7CAB"/>
    <w:rsid w:val="005F4727"/>
    <w:rsid w:val="00603D52"/>
    <w:rsid w:val="006049EE"/>
    <w:rsid w:val="006228D2"/>
    <w:rsid w:val="00625FA7"/>
    <w:rsid w:val="00632914"/>
    <w:rsid w:val="006333B6"/>
    <w:rsid w:val="00633454"/>
    <w:rsid w:val="00652604"/>
    <w:rsid w:val="0066110E"/>
    <w:rsid w:val="00663D61"/>
    <w:rsid w:val="00675B44"/>
    <w:rsid w:val="00675D27"/>
    <w:rsid w:val="0068013E"/>
    <w:rsid w:val="0068772B"/>
    <w:rsid w:val="00693356"/>
    <w:rsid w:val="00693A4D"/>
    <w:rsid w:val="00694D87"/>
    <w:rsid w:val="0069518C"/>
    <w:rsid w:val="006A5910"/>
    <w:rsid w:val="006B2268"/>
    <w:rsid w:val="006B41C1"/>
    <w:rsid w:val="006B6B72"/>
    <w:rsid w:val="006B7800"/>
    <w:rsid w:val="006C0CC3"/>
    <w:rsid w:val="006C540C"/>
    <w:rsid w:val="006D7B6C"/>
    <w:rsid w:val="006E14A9"/>
    <w:rsid w:val="006E2177"/>
    <w:rsid w:val="006E31CD"/>
    <w:rsid w:val="006E611E"/>
    <w:rsid w:val="006F1C37"/>
    <w:rsid w:val="006F238C"/>
    <w:rsid w:val="006F75E4"/>
    <w:rsid w:val="007010C7"/>
    <w:rsid w:val="00703E8A"/>
    <w:rsid w:val="00726165"/>
    <w:rsid w:val="00727507"/>
    <w:rsid w:val="00730C12"/>
    <w:rsid w:val="00731AC4"/>
    <w:rsid w:val="00732017"/>
    <w:rsid w:val="00732B6B"/>
    <w:rsid w:val="00737833"/>
    <w:rsid w:val="00740EC7"/>
    <w:rsid w:val="007528B8"/>
    <w:rsid w:val="00753796"/>
    <w:rsid w:val="00757427"/>
    <w:rsid w:val="00762514"/>
    <w:rsid w:val="007638D8"/>
    <w:rsid w:val="00764BC3"/>
    <w:rsid w:val="00766CF5"/>
    <w:rsid w:val="00771C20"/>
    <w:rsid w:val="00773620"/>
    <w:rsid w:val="007750CC"/>
    <w:rsid w:val="00777CAA"/>
    <w:rsid w:val="0078648A"/>
    <w:rsid w:val="007A1768"/>
    <w:rsid w:val="007A1881"/>
    <w:rsid w:val="007A59CC"/>
    <w:rsid w:val="007B28F6"/>
    <w:rsid w:val="007B5954"/>
    <w:rsid w:val="007C1157"/>
    <w:rsid w:val="007D511F"/>
    <w:rsid w:val="007E340B"/>
    <w:rsid w:val="007E3965"/>
    <w:rsid w:val="007F0906"/>
    <w:rsid w:val="008137B5"/>
    <w:rsid w:val="008202A1"/>
    <w:rsid w:val="00821DE2"/>
    <w:rsid w:val="00822367"/>
    <w:rsid w:val="00824DAE"/>
    <w:rsid w:val="00833808"/>
    <w:rsid w:val="00834895"/>
    <w:rsid w:val="008353A1"/>
    <w:rsid w:val="008365FD"/>
    <w:rsid w:val="008427FE"/>
    <w:rsid w:val="00842F70"/>
    <w:rsid w:val="00864BBC"/>
    <w:rsid w:val="00877E50"/>
    <w:rsid w:val="00881BBB"/>
    <w:rsid w:val="0089283D"/>
    <w:rsid w:val="00897D15"/>
    <w:rsid w:val="008A0D05"/>
    <w:rsid w:val="008A38C2"/>
    <w:rsid w:val="008A65D1"/>
    <w:rsid w:val="008C0768"/>
    <w:rsid w:val="008C1D0A"/>
    <w:rsid w:val="008D1E25"/>
    <w:rsid w:val="008D733B"/>
    <w:rsid w:val="008E0085"/>
    <w:rsid w:val="008E2186"/>
    <w:rsid w:val="008F0DD4"/>
    <w:rsid w:val="008F41E0"/>
    <w:rsid w:val="0090200F"/>
    <w:rsid w:val="009047E4"/>
    <w:rsid w:val="009126B3"/>
    <w:rsid w:val="009152C4"/>
    <w:rsid w:val="0095079B"/>
    <w:rsid w:val="00950EB5"/>
    <w:rsid w:val="00953BA1"/>
    <w:rsid w:val="00954D08"/>
    <w:rsid w:val="00957BE9"/>
    <w:rsid w:val="009633B4"/>
    <w:rsid w:val="00981936"/>
    <w:rsid w:val="0098439D"/>
    <w:rsid w:val="009930CA"/>
    <w:rsid w:val="009A39F1"/>
    <w:rsid w:val="009C2157"/>
    <w:rsid w:val="009C33E1"/>
    <w:rsid w:val="009C768A"/>
    <w:rsid w:val="009C7815"/>
    <w:rsid w:val="009D0C2B"/>
    <w:rsid w:val="009E2BD0"/>
    <w:rsid w:val="009E7A2E"/>
    <w:rsid w:val="009F23BD"/>
    <w:rsid w:val="00A01F4E"/>
    <w:rsid w:val="00A04EFC"/>
    <w:rsid w:val="00A07A07"/>
    <w:rsid w:val="00A127BB"/>
    <w:rsid w:val="00A15F08"/>
    <w:rsid w:val="00A175E9"/>
    <w:rsid w:val="00A21819"/>
    <w:rsid w:val="00A254BD"/>
    <w:rsid w:val="00A27AFF"/>
    <w:rsid w:val="00A35755"/>
    <w:rsid w:val="00A358FD"/>
    <w:rsid w:val="00A45CF4"/>
    <w:rsid w:val="00A47206"/>
    <w:rsid w:val="00A52A71"/>
    <w:rsid w:val="00A573DC"/>
    <w:rsid w:val="00A60FA1"/>
    <w:rsid w:val="00A6339A"/>
    <w:rsid w:val="00A63E34"/>
    <w:rsid w:val="00A725A4"/>
    <w:rsid w:val="00A80D7B"/>
    <w:rsid w:val="00A83290"/>
    <w:rsid w:val="00A87910"/>
    <w:rsid w:val="00AB34C4"/>
    <w:rsid w:val="00AB6F3B"/>
    <w:rsid w:val="00AC6821"/>
    <w:rsid w:val="00AD2F06"/>
    <w:rsid w:val="00AD3D8A"/>
    <w:rsid w:val="00AD4D7C"/>
    <w:rsid w:val="00AD6542"/>
    <w:rsid w:val="00AE59DF"/>
    <w:rsid w:val="00AF1BC3"/>
    <w:rsid w:val="00AF69E5"/>
    <w:rsid w:val="00B005FC"/>
    <w:rsid w:val="00B01934"/>
    <w:rsid w:val="00B07BC1"/>
    <w:rsid w:val="00B12838"/>
    <w:rsid w:val="00B14805"/>
    <w:rsid w:val="00B15624"/>
    <w:rsid w:val="00B20B0D"/>
    <w:rsid w:val="00B2414D"/>
    <w:rsid w:val="00B26EDD"/>
    <w:rsid w:val="00B31A6C"/>
    <w:rsid w:val="00B35AB9"/>
    <w:rsid w:val="00B42E00"/>
    <w:rsid w:val="00B462AB"/>
    <w:rsid w:val="00B57187"/>
    <w:rsid w:val="00B65F0D"/>
    <w:rsid w:val="00B706F8"/>
    <w:rsid w:val="00B715DA"/>
    <w:rsid w:val="00B72F87"/>
    <w:rsid w:val="00B76CCA"/>
    <w:rsid w:val="00B835CF"/>
    <w:rsid w:val="00B908C2"/>
    <w:rsid w:val="00B90B40"/>
    <w:rsid w:val="00BA0E02"/>
    <w:rsid w:val="00BA16AA"/>
    <w:rsid w:val="00BA1DAE"/>
    <w:rsid w:val="00BA27C2"/>
    <w:rsid w:val="00BA28CD"/>
    <w:rsid w:val="00BA5064"/>
    <w:rsid w:val="00BA72BF"/>
    <w:rsid w:val="00BC397D"/>
    <w:rsid w:val="00BF052F"/>
    <w:rsid w:val="00BF172C"/>
    <w:rsid w:val="00BF1F6A"/>
    <w:rsid w:val="00C05E4F"/>
    <w:rsid w:val="00C06980"/>
    <w:rsid w:val="00C24F37"/>
    <w:rsid w:val="00C31282"/>
    <w:rsid w:val="00C337A4"/>
    <w:rsid w:val="00C44327"/>
    <w:rsid w:val="00C463D2"/>
    <w:rsid w:val="00C612AE"/>
    <w:rsid w:val="00C66A24"/>
    <w:rsid w:val="00C825D3"/>
    <w:rsid w:val="00C84C22"/>
    <w:rsid w:val="00C91FC4"/>
    <w:rsid w:val="00C928AB"/>
    <w:rsid w:val="00C969CC"/>
    <w:rsid w:val="00CA4F84"/>
    <w:rsid w:val="00CA56B4"/>
    <w:rsid w:val="00CB1061"/>
    <w:rsid w:val="00CB145C"/>
    <w:rsid w:val="00CB2E19"/>
    <w:rsid w:val="00CB47C3"/>
    <w:rsid w:val="00CB6AAA"/>
    <w:rsid w:val="00CC3369"/>
    <w:rsid w:val="00CD1639"/>
    <w:rsid w:val="00CD3EFA"/>
    <w:rsid w:val="00CD61FB"/>
    <w:rsid w:val="00CE1F03"/>
    <w:rsid w:val="00CE3D00"/>
    <w:rsid w:val="00CE78D1"/>
    <w:rsid w:val="00CF3874"/>
    <w:rsid w:val="00CF3D04"/>
    <w:rsid w:val="00CF50B2"/>
    <w:rsid w:val="00CF58F5"/>
    <w:rsid w:val="00CF7BB4"/>
    <w:rsid w:val="00CF7EEC"/>
    <w:rsid w:val="00D07290"/>
    <w:rsid w:val="00D1127C"/>
    <w:rsid w:val="00D14240"/>
    <w:rsid w:val="00D1614C"/>
    <w:rsid w:val="00D227FB"/>
    <w:rsid w:val="00D308A4"/>
    <w:rsid w:val="00D46D90"/>
    <w:rsid w:val="00D505A2"/>
    <w:rsid w:val="00D536EA"/>
    <w:rsid w:val="00D571DE"/>
    <w:rsid w:val="00D62C4D"/>
    <w:rsid w:val="00D755CD"/>
    <w:rsid w:val="00D8016C"/>
    <w:rsid w:val="00D92A3D"/>
    <w:rsid w:val="00D97105"/>
    <w:rsid w:val="00DA0000"/>
    <w:rsid w:val="00DB0A6B"/>
    <w:rsid w:val="00DB1717"/>
    <w:rsid w:val="00DB28EB"/>
    <w:rsid w:val="00DB6366"/>
    <w:rsid w:val="00DC1267"/>
    <w:rsid w:val="00DC1F2B"/>
    <w:rsid w:val="00DC72AD"/>
    <w:rsid w:val="00DD326F"/>
    <w:rsid w:val="00DE5084"/>
    <w:rsid w:val="00DF697A"/>
    <w:rsid w:val="00E0014A"/>
    <w:rsid w:val="00E01973"/>
    <w:rsid w:val="00E051B0"/>
    <w:rsid w:val="00E25569"/>
    <w:rsid w:val="00E27B58"/>
    <w:rsid w:val="00E34110"/>
    <w:rsid w:val="00E40FE3"/>
    <w:rsid w:val="00E54194"/>
    <w:rsid w:val="00E557A5"/>
    <w:rsid w:val="00E601A2"/>
    <w:rsid w:val="00E645AF"/>
    <w:rsid w:val="00E660FB"/>
    <w:rsid w:val="00E6717F"/>
    <w:rsid w:val="00E67402"/>
    <w:rsid w:val="00E74548"/>
    <w:rsid w:val="00E77198"/>
    <w:rsid w:val="00E821A6"/>
    <w:rsid w:val="00E83E23"/>
    <w:rsid w:val="00E878EE"/>
    <w:rsid w:val="00E94537"/>
    <w:rsid w:val="00EA3AD1"/>
    <w:rsid w:val="00EB1248"/>
    <w:rsid w:val="00EB206E"/>
    <w:rsid w:val="00EB261C"/>
    <w:rsid w:val="00EB2F4B"/>
    <w:rsid w:val="00EC08EF"/>
    <w:rsid w:val="00EC0AEF"/>
    <w:rsid w:val="00EC6AF4"/>
    <w:rsid w:val="00ED236E"/>
    <w:rsid w:val="00ED2A8C"/>
    <w:rsid w:val="00ED4CC4"/>
    <w:rsid w:val="00EE03CA"/>
    <w:rsid w:val="00EE7199"/>
    <w:rsid w:val="00F05E7A"/>
    <w:rsid w:val="00F06CB6"/>
    <w:rsid w:val="00F3220D"/>
    <w:rsid w:val="00F36C4D"/>
    <w:rsid w:val="00F37CE4"/>
    <w:rsid w:val="00F52495"/>
    <w:rsid w:val="00F658D5"/>
    <w:rsid w:val="00F73746"/>
    <w:rsid w:val="00F764AD"/>
    <w:rsid w:val="00F836B3"/>
    <w:rsid w:val="00F936A3"/>
    <w:rsid w:val="00F95A2D"/>
    <w:rsid w:val="00F978E2"/>
    <w:rsid w:val="00F97BA9"/>
    <w:rsid w:val="00FA4E25"/>
    <w:rsid w:val="00FB19B8"/>
    <w:rsid w:val="00FB2A90"/>
    <w:rsid w:val="00FB7A07"/>
    <w:rsid w:val="00FD4E12"/>
    <w:rsid w:val="00FE2B63"/>
    <w:rsid w:val="00FE75CF"/>
    <w:rsid w:val="00FF182F"/>
    <w:rsid w:val="00FF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38E65B3"/>
  <w15:docId w15:val="{A80AF2BE-AFB1-43CA-A435-5C8C2E98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5A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50EB5"/>
    <w:rPr>
      <w:color w:val="0000FF"/>
      <w:u w:val="single"/>
    </w:rPr>
  </w:style>
  <w:style w:type="paragraph" w:styleId="ListParagraph">
    <w:name w:val="List Paragraph"/>
    <w:aliases w:val="Heading next,Colorful List - Accent 11,Mummuga loetelu,Bullet alinea,Dot pt,F5 List Paragraph,List Paragraph1,No Spacing1,List Paragraph Char Char Char,Indicator Text,Numbered Para 1,Bullet 1,Bullet Points,Párrafo de lista,MAIN CONTENT"/>
    <w:basedOn w:val="Normal"/>
    <w:link w:val="ListParagraphChar"/>
    <w:uiPriority w:val="34"/>
    <w:qFormat/>
    <w:rsid w:val="00950E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Heading next Char,Colorful List - Accent 11 Char,Mummuga loetelu Char,Bullet alinea Char,Dot pt Char,F5 List Paragraph Char,List Paragraph1 Char,No Spacing1 Char,List Paragraph Char Char Char Char,Indicator Text Char,Bullet 1 Char"/>
    <w:link w:val="ListParagraph"/>
    <w:uiPriority w:val="34"/>
    <w:qFormat/>
    <w:rsid w:val="00950EB5"/>
    <w:rPr>
      <w:rFonts w:ascii="Calibri" w:eastAsia="Calibri" w:hAnsi="Calibri"/>
      <w:sz w:val="22"/>
      <w:szCs w:val="22"/>
      <w:lang w:eastAsia="en-US"/>
    </w:rPr>
  </w:style>
  <w:style w:type="paragraph" w:styleId="FootnoteText">
    <w:name w:val="footnote text"/>
    <w:aliases w:val="fn,Footnote Text Char Char Char Char Char Char,single space,footnote text,FOOTNOTES,WB-Fußnotentext,Footnote,Fußnote,ADB,Footnote Text qer,Footnote text,single space Char Char,pod carou,Footnote Text WBR,WBR,ft,Char,f,ALTS FOOTNOTE,Fuﬂnote"/>
    <w:basedOn w:val="Normal"/>
    <w:link w:val="FootnoteTextChar"/>
    <w:uiPriority w:val="99"/>
    <w:unhideWhenUsed/>
    <w:qFormat/>
    <w:rsid w:val="00950EB5"/>
    <w:rPr>
      <w:rFonts w:ascii="Calibri" w:eastAsia="Calibri" w:hAnsi="Calibri"/>
      <w:sz w:val="22"/>
      <w:szCs w:val="22"/>
      <w:lang w:val="x-none" w:eastAsia="x-none"/>
    </w:rPr>
  </w:style>
  <w:style w:type="character" w:customStyle="1" w:styleId="FootnoteTextChar">
    <w:name w:val="Footnote Text Char"/>
    <w:aliases w:val="fn Char,Footnote Text Char Char Char Char Char Char Char,single space Char,footnote text Char,FOOTNOTES Char,WB-Fußnotentext Char,Footnote Char,Fußnote Char,ADB Char,Footnote Text qer Char,Footnote text Char,pod carou Char,WBR Char"/>
    <w:basedOn w:val="DefaultParagraphFont"/>
    <w:link w:val="FootnoteText"/>
    <w:uiPriority w:val="99"/>
    <w:rsid w:val="00950EB5"/>
    <w:rPr>
      <w:rFonts w:ascii="Calibri" w:eastAsia="Calibri" w:hAnsi="Calibri"/>
      <w:sz w:val="22"/>
      <w:szCs w:val="22"/>
      <w:lang w:val="x-none" w:eastAsia="x-none"/>
    </w:rPr>
  </w:style>
  <w:style w:type="character" w:styleId="FootnoteReference">
    <w:name w:val="footnote reference"/>
    <w:aliases w:val="ftref,BVI fnr,16 Point,Superscript 6 Point,Знак сноски-FN,Footnote Reference Superscript,Footnote symbol,???? ??????-FN,Footnote Reference Number,Footnote Reference_LVL6,Footnote Reference_LVL61,Footnote Reference_LVL62,footnote ref,R"/>
    <w:link w:val="CarattereCarattereCharCharCharCharCharCharZchn"/>
    <w:uiPriority w:val="99"/>
    <w:unhideWhenUsed/>
    <w:qFormat/>
    <w:rsid w:val="00950EB5"/>
    <w:rPr>
      <w:vertAlign w:val="superscript"/>
    </w:rPr>
  </w:style>
  <w:style w:type="paragraph" w:customStyle="1" w:styleId="CarattereCarattereCharCharCharCharCharCharZchn">
    <w:name w:val="Carattere Carattere Char Char Char Char Char Char Zchn"/>
    <w:aliases w:val="ftref Char Char Char Char Char Char Zchn,Char Char Char Char Char Char Char Char Zchn,ftref Char Char Char1 Zchn,Carattere Carattere Char Char Char Char Char Char Char Zchn"/>
    <w:basedOn w:val="Normal"/>
    <w:next w:val="Normal"/>
    <w:link w:val="FootnoteReference"/>
    <w:uiPriority w:val="99"/>
    <w:rsid w:val="00950EB5"/>
    <w:pPr>
      <w:spacing w:after="160" w:line="240" w:lineRule="exact"/>
      <w:jc w:val="both"/>
    </w:pPr>
    <w:rPr>
      <w:sz w:val="20"/>
      <w:szCs w:val="20"/>
      <w:vertAlign w:val="superscript"/>
    </w:rPr>
  </w:style>
  <w:style w:type="paragraph" w:customStyle="1" w:styleId="Default">
    <w:name w:val="Default"/>
    <w:rsid w:val="00CB2E19"/>
    <w:pPr>
      <w:pBdr>
        <w:top w:val="nil"/>
        <w:left w:val="nil"/>
        <w:bottom w:val="nil"/>
        <w:right w:val="nil"/>
        <w:between w:val="nil"/>
        <w:bar w:val="nil"/>
      </w:pBdr>
      <w:spacing w:after="80" w:line="288" w:lineRule="auto"/>
    </w:pPr>
    <w:rPr>
      <w:rFonts w:ascii="Baskerville" w:eastAsia="Arial Unicode MS" w:hAnsi="Baskerville" w:cs="Arial Unicode MS"/>
      <w:color w:val="434343"/>
      <w:sz w:val="24"/>
      <w:szCs w:val="24"/>
      <w:u w:color="434343"/>
      <w:bdr w:val="nil"/>
      <w:lang w:val="en-US" w:eastAsia="en-GB"/>
    </w:rPr>
  </w:style>
  <w:style w:type="character" w:styleId="CommentReference">
    <w:name w:val="annotation reference"/>
    <w:basedOn w:val="DefaultParagraphFont"/>
    <w:semiHidden/>
    <w:unhideWhenUsed/>
    <w:rsid w:val="004609F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609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609F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609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609F5"/>
    <w:rPr>
      <w:b/>
      <w:bCs/>
    </w:rPr>
  </w:style>
  <w:style w:type="character" w:styleId="Strong">
    <w:name w:val="Strong"/>
    <w:basedOn w:val="DefaultParagraphFont"/>
    <w:uiPriority w:val="22"/>
    <w:qFormat/>
    <w:rsid w:val="006E31CD"/>
    <w:rPr>
      <w:b/>
      <w:bCs/>
    </w:rPr>
  </w:style>
  <w:style w:type="character" w:styleId="Emphasis">
    <w:name w:val="Emphasis"/>
    <w:basedOn w:val="DefaultParagraphFont"/>
    <w:uiPriority w:val="20"/>
    <w:qFormat/>
    <w:rsid w:val="006E31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oecd.org/economy/reform/indicators-of-product-market-regulation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vlada.gov.hr/UserDocsImages/2016/Sjednice/2020/Travanj/227%20sjednica%20VRH/Novi%20direktorij/227%20-%201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stats.oecd.org/Index.aspx?DataSetCode=PM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AZJMDCZ6QSYZ-1849078857-4527</_dlc_DocId>
    <_dlc_DocIdUrl xmlns="a494813a-d0d8-4dad-94cb-0d196f36ba15">
      <Url>https://ekoordinacije.vlada.hr/koordinacija-gospodarstvo/_layouts/15/DocIdRedir.aspx?ID=AZJMDCZ6QSYZ-1849078857-4527</Url>
      <Description>AZJMDCZ6QSYZ-1849078857-4527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23877-EA50-40E6-9DF2-2CA0B7D042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2303A0-25CD-4741-93E9-22B01DDF36F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F9AF08B-D3F8-4C96-A5D1-7EC1B921A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0D7F75-8512-432D-89A5-686DE40E20F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a494813a-d0d8-4dad-94cb-0d196f36ba15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DC1692EA-E68D-4549-9C3F-D27BD88E6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1325</Words>
  <Characters>9090</Characters>
  <Application>Microsoft Office Word</Application>
  <DocSecurity>0</DocSecurity>
  <Lines>75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10395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Sonja Tučkar</cp:lastModifiedBy>
  <cp:revision>3</cp:revision>
  <cp:lastPrinted>2021-02-17T09:35:00Z</cp:lastPrinted>
  <dcterms:created xsi:type="dcterms:W3CDTF">2021-04-14T08:36:00Z</dcterms:created>
  <dcterms:modified xsi:type="dcterms:W3CDTF">2021-04-21T10:16:00Z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6b1136f6-10f3-44a1-9e2d-e65f9865f879</vt:lpwstr>
  </property>
</Properties>
</file>